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header13.xml" ContentType="application/vnd.openxmlformats-officedocument.wordprocessingml.header+xml"/>
  <Override PartName="/word/footer10.xml" ContentType="application/vnd.openxmlformats-officedocument.wordprocessingml.footer+xml"/>
  <Override PartName="/word/footer2.xml" ContentType="application/vnd.openxmlformats-officedocument.wordprocessingml.footer+xml"/>
  <Override PartName="/word/header12.xml" ContentType="application/vnd.openxmlformats-officedocument.wordprocessingml.header+xml"/>
  <Override PartName="/word/settings.xml" ContentType="application/vnd.openxmlformats-officedocument.wordprocessingml.settings+xml"/>
  <Override PartName="/word/header9.xml" ContentType="application/vnd.openxmlformats-officedocument.wordprocessingml.header+xml"/>
  <Override PartName="/word/header5.xml" ContentType="application/vnd.openxmlformats-officedocument.wordprocessingml.header+xml"/>
  <Override PartName="/word/media/image1.jpeg" ContentType="image/jpeg"/>
  <Override PartName="/word/media/image2.wmf" ContentType="image/x-wmf"/>
  <Override PartName="/word/media/image3.wmf" ContentType="image/x-wmf"/>
  <Override PartName="/word/media/image4.wmf" ContentType="image/x-wmf"/>
  <Override PartName="/word/media/image5.wmf" ContentType="image/x-wmf"/>
  <Override PartName="/word/media/image6.wmf" ContentType="image/x-wmf"/>
  <Override PartName="/word/_rels/document.xml.rels" ContentType="application/vnd.openxmlformats-package.relationships+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9.xml" ContentType="application/vnd.openxmlformats-officedocument.wordprocessingml.footer+xml"/>
  <Override PartName="/word/embeddings/oleObject1.docx" ContentType="application/vnd.openxmlformats-officedocument.wordprocessingml.document"/>
  <Override PartName="/word/embeddings/oleObject2.docx" ContentType="application/vnd.openxmlformats-officedocument.wordprocessingml.document"/>
  <Override PartName="/word/embeddings/oleObject3.docx" ContentType="application/vnd.openxmlformats-officedocument.wordprocessingml.document"/>
  <Override PartName="/word/embeddings/oleObject4.xlsx" ContentType="application/vnd.openxmlformats-officedocument.spreadsheetml.sheet"/>
  <Override PartName="/word/embeddings/oleObject5.docx" ContentType="application/vnd.openxmlformats-officedocument.wordprocessingml.document"/>
  <Override PartName="/word/footnotes.xml" ContentType="application/vnd.openxmlformats-officedocument.wordprocessingml.footnotes+xml"/>
  <Override PartName="/word/header4.xml" ContentType="application/vnd.openxmlformats-officedocument.wordprocessingml.header+xml"/>
  <Override PartName="/word/footer12.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header7.xml" ContentType="application/vnd.openxmlformats-officedocument.wordprocessingml.header+xml"/>
  <Override PartName="/word/header10.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3.xml" ContentType="application/vnd.openxmlformats-officedocument.wordprocessingml.footer+xml"/>
  <Override PartName="/word/footer11.xml" ContentType="application/vnd.openxmlformats-officedocument.wordprocessingml.footer+xml"/>
  <Override PartName="/word/document.xml" ContentType="application/vnd.openxmlformats-officedocument.wordprocessingml.document.main+xml"/>
  <Override PartName="/word/header6.xml" ContentType="application/vnd.openxmlformats-officedocument.wordprocessingml.header+xml"/>
  <Override PartName="/word/footer13.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footer6.xml" ContentType="application/vnd.openxmlformats-officedocument.wordprocessingml.footer+xml"/>
  <Override PartName="/word/numbering.xml" ContentType="application/vnd.openxmlformats-officedocument.wordprocessingml.numbering+xml"/>
  <Override PartName="/word/footer7.xml" ContentType="application/vnd.openxmlformats-officedocument.wordprocessingml.footer+xml"/>
  <Override PartName="/word/header8.xml" ContentType="application/vnd.openxmlformats-officedocument.wordprocessingml.header+xml"/>
  <Override PartName="/word/header11.xml" ContentType="application/vnd.openxmlformats-officedocument.wordprocessingml.head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30"/>
        <w:keepNext w:val="true"/>
        <w:spacing w:before="120" w:after="0"/>
        <w:rPr>
          <w:rStyle w:val="Style11"/>
          <w:sz w:val="20"/>
          <w:szCs w:val="20"/>
        </w:rPr>
      </w:pPr>
      <w:r>
        <w:rPr>
          <w:sz w:val="20"/>
          <w:szCs w:val="20"/>
        </w:rPr>
        <w:drawing>
          <wp:anchor behindDoc="0" distT="0" distB="0" distL="0" distR="0" simplePos="0" locked="0" layoutInCell="0" allowOverlap="1" relativeHeight="2">
            <wp:simplePos x="0" y="0"/>
            <wp:positionH relativeFrom="column">
              <wp:align>center</wp:align>
            </wp:positionH>
            <wp:positionV relativeFrom="paragraph">
              <wp:align>center</wp:align>
            </wp:positionV>
            <wp:extent cx="4187825" cy="767715"/>
            <wp:effectExtent l="0" t="0" r="0" b="0"/>
            <wp:wrapSquare wrapText="largest"/>
            <wp:docPr id="1" name="Изображение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7" descr=""/>
                    <pic:cNvPicPr>
                      <a:picLocks noChangeAspect="1" noChangeArrowheads="1"/>
                    </pic:cNvPicPr>
                  </pic:nvPicPr>
                  <pic:blipFill>
                    <a:blip r:embed="rId2"/>
                    <a:srcRect l="11261" t="29760" r="6241" b="25484"/>
                    <a:stretch>
                      <a:fillRect/>
                    </a:stretch>
                  </pic:blipFill>
                  <pic:spPr bwMode="auto">
                    <a:xfrm>
                      <a:off x="0" y="0"/>
                      <a:ext cx="4187825" cy="767715"/>
                    </a:xfrm>
                    <a:prstGeom prst="rect">
                      <a:avLst/>
                    </a:prstGeom>
                  </pic:spPr>
                </pic:pic>
              </a:graphicData>
            </a:graphic>
          </wp:anchor>
        </w:drawing>
      </w:r>
    </w:p>
    <w:p>
      <w:pPr>
        <w:pStyle w:val="Style30"/>
        <w:ind w:left="4536" w:hanging="0"/>
        <w:jc w:val="left"/>
        <w:rPr/>
      </w:pPr>
      <w:r>
        <w:rPr/>
      </w:r>
    </w:p>
    <w:p>
      <w:pPr>
        <w:pStyle w:val="Style30"/>
        <w:ind w:left="4536" w:hanging="0"/>
        <w:jc w:val="left"/>
        <w:rPr/>
      </w:pPr>
      <w:r>
        <w:rPr/>
      </w:r>
    </w:p>
    <w:p>
      <w:pPr>
        <w:pStyle w:val="Style30"/>
        <w:widowControl/>
        <w:suppressAutoHyphens w:val="true"/>
        <w:bidi w:val="0"/>
        <w:spacing w:before="120" w:after="0"/>
        <w:ind w:left="0" w:right="0" w:hanging="0"/>
        <w:jc w:val="center"/>
        <w:rPr/>
      </w:pPr>
      <w:r>
        <w:rPr/>
      </w:r>
    </w:p>
    <w:p>
      <w:pPr>
        <w:pStyle w:val="Normal"/>
        <w:widowControl w:val="false"/>
        <w:spacing w:before="0" w:after="0"/>
        <w:jc w:val="right"/>
        <w:rPr>
          <w:rFonts w:ascii="Times New Roman" w:hAnsi="Times New Roman" w:cs="Times New Roman"/>
          <w:b w:val="false"/>
          <w:bCs w:val="false"/>
          <w:sz w:val="26"/>
          <w:szCs w:val="26"/>
        </w:rPr>
      </w:pPr>
      <w:r>
        <w:rPr>
          <w:rFonts w:eastAsia="Times New Roman" w:cs="Times New Roman"/>
          <w:b w:val="false"/>
          <w:sz w:val="26"/>
          <w:szCs w:val="26"/>
        </w:rPr>
        <w:t>«УТВЕРЖДАЮ»</w:t>
      </w:r>
    </w:p>
    <w:p>
      <w:pPr>
        <w:pStyle w:val="Tableheader"/>
        <w:widowControl w:val="false"/>
        <w:spacing w:before="0" w:after="0"/>
        <w:jc w:val="right"/>
        <w:rPr>
          <w:rFonts w:ascii="Times New Roman" w:hAnsi="Times New Roman" w:cs="Times New Roman"/>
          <w:b w:val="false"/>
          <w:sz w:val="26"/>
          <w:szCs w:val="26"/>
        </w:rPr>
      </w:pPr>
      <w:r>
        <w:rPr>
          <w:rFonts w:eastAsia="Times New Roman" w:cs="Times New Roman"/>
          <w:b w:val="false"/>
          <w:sz w:val="26"/>
          <w:szCs w:val="26"/>
        </w:rPr>
        <w:t xml:space="preserve">                                                                               </w:t>
      </w:r>
      <w:r>
        <w:rPr>
          <w:rFonts w:eastAsia="Times New Roman" w:cs="Times New Roman"/>
          <w:b w:val="false"/>
          <w:sz w:val="26"/>
          <w:szCs w:val="26"/>
        </w:rPr>
        <w:t>Председатель закупочной комиссии</w:t>
      </w:r>
    </w:p>
    <w:p>
      <w:pPr>
        <w:pStyle w:val="Tableheader"/>
        <w:widowControl w:val="false"/>
        <w:spacing w:before="0" w:after="0"/>
        <w:jc w:val="right"/>
        <w:rPr>
          <w:rFonts w:ascii="Times New Roman" w:hAnsi="Times New Roman" w:cs="Times New Roman"/>
          <w:b w:val="false"/>
          <w:sz w:val="26"/>
          <w:szCs w:val="26"/>
        </w:rPr>
      </w:pPr>
      <w:r>
        <w:rPr>
          <w:rFonts w:eastAsia="Times New Roman" w:cs="Times New Roman"/>
          <w:b w:val="false"/>
          <w:sz w:val="26"/>
          <w:szCs w:val="26"/>
        </w:rPr>
        <w:t xml:space="preserve">                                                     </w:t>
      </w:r>
      <w:r>
        <w:rPr>
          <w:rFonts w:eastAsia="Times New Roman" w:cs="Times New Roman"/>
          <w:b w:val="false"/>
          <w:sz w:val="26"/>
          <w:szCs w:val="26"/>
        </w:rPr>
        <w:t>АО «ДГК» 1 уровня-</w:t>
      </w:r>
    </w:p>
    <w:p>
      <w:pPr>
        <w:pStyle w:val="Tableheader"/>
        <w:widowControl w:val="false"/>
        <w:spacing w:before="0" w:after="0"/>
        <w:jc w:val="right"/>
        <w:rPr>
          <w:rFonts w:ascii="Times New Roman" w:hAnsi="Times New Roman" w:cs="Times New Roman"/>
          <w:b w:val="false"/>
          <w:sz w:val="26"/>
          <w:szCs w:val="26"/>
        </w:rPr>
      </w:pPr>
      <w:r>
        <w:rPr>
          <w:rFonts w:eastAsia="Times New Roman" w:cs="Times New Roman"/>
          <w:b w:val="false"/>
          <w:sz w:val="26"/>
          <w:szCs w:val="26"/>
        </w:rPr>
        <w:t xml:space="preserve">                                                                                  </w:t>
      </w:r>
      <w:r>
        <w:rPr>
          <w:rFonts w:eastAsia="Times New Roman" w:cs="Times New Roman"/>
          <w:b w:val="false"/>
          <w:sz w:val="26"/>
          <w:szCs w:val="26"/>
        </w:rPr>
        <w:t xml:space="preserve">Заместитель Генерального директора </w:t>
      </w:r>
    </w:p>
    <w:p>
      <w:pPr>
        <w:pStyle w:val="Tableheader"/>
        <w:widowControl w:val="false"/>
        <w:spacing w:before="0" w:after="0"/>
        <w:jc w:val="right"/>
        <w:rPr>
          <w:rFonts w:ascii="Times New Roman" w:hAnsi="Times New Roman" w:cs="Times New Roman"/>
          <w:b w:val="false"/>
          <w:sz w:val="26"/>
          <w:szCs w:val="26"/>
        </w:rPr>
      </w:pPr>
      <w:r>
        <w:rPr>
          <w:rFonts w:eastAsia="Times New Roman" w:cs="Times New Roman"/>
          <w:b w:val="false"/>
          <w:sz w:val="26"/>
          <w:szCs w:val="26"/>
        </w:rPr>
        <w:t xml:space="preserve">                                                               </w:t>
      </w:r>
      <w:r>
        <w:rPr>
          <w:rFonts w:eastAsia="Times New Roman" w:cs="Times New Roman"/>
          <w:b w:val="false"/>
          <w:sz w:val="26"/>
          <w:szCs w:val="26"/>
        </w:rPr>
        <w:t>по управлению ресурсами</w:t>
      </w:r>
    </w:p>
    <w:p>
      <w:pPr>
        <w:pStyle w:val="Tableheader"/>
        <w:widowControl w:val="false"/>
        <w:spacing w:before="0" w:after="0"/>
        <w:jc w:val="right"/>
        <w:rPr>
          <w:rFonts w:ascii="Times New Roman" w:hAnsi="Times New Roman" w:eastAsia="Times New Roman" w:cs="Times New Roman"/>
          <w:b w:val="false"/>
          <w:bCs w:val="false"/>
          <w:sz w:val="26"/>
          <w:szCs w:val="26"/>
        </w:rPr>
      </w:pPr>
      <w:r>
        <w:rPr>
          <w:rFonts w:eastAsia="Times New Roman" w:cs="Times New Roman"/>
          <w:b w:val="false"/>
          <w:sz w:val="26"/>
          <w:szCs w:val="26"/>
        </w:rPr>
        <w:t xml:space="preserve">                                                                                  </w:t>
      </w:r>
    </w:p>
    <w:p>
      <w:pPr>
        <w:pStyle w:val="Tableheader"/>
        <w:widowControl w:val="false"/>
        <w:spacing w:lineRule="auto" w:line="360" w:before="0" w:after="0"/>
        <w:jc w:val="right"/>
        <w:rPr>
          <w:rFonts w:ascii="Times New Roman" w:hAnsi="Times New Roman" w:cs="Times New Roman"/>
          <w:b w:val="false"/>
          <w:bCs w:val="false"/>
          <w:sz w:val="26"/>
          <w:szCs w:val="26"/>
        </w:rPr>
      </w:pPr>
      <w:r>
        <w:rPr>
          <w:rFonts w:eastAsia="Times New Roman" w:cs="Times New Roman"/>
          <w:b w:val="false"/>
          <w:sz w:val="26"/>
          <w:szCs w:val="26"/>
        </w:rPr>
        <w:t xml:space="preserve">                                                                                 </w:t>
      </w:r>
      <w:r>
        <w:rPr>
          <w:rFonts w:eastAsia="Times New Roman" w:cs="Times New Roman"/>
          <w:b w:val="false"/>
          <w:sz w:val="26"/>
          <w:szCs w:val="26"/>
        </w:rPr>
        <w:t>_______________Д. А. Богонатов</w:t>
      </w:r>
    </w:p>
    <w:p>
      <w:pPr>
        <w:pStyle w:val="Tableheader"/>
        <w:widowControl w:val="false"/>
        <w:spacing w:before="0" w:after="0"/>
        <w:jc w:val="right"/>
        <w:rPr>
          <w:rFonts w:ascii="Times New Roman" w:hAnsi="Times New Roman" w:cs="Times New Roman"/>
          <w:b w:val="false"/>
          <w:bCs w:val="false"/>
          <w:sz w:val="26"/>
          <w:szCs w:val="26"/>
        </w:rPr>
      </w:pPr>
      <w:r>
        <w:rPr>
          <w:rFonts w:eastAsia="Times New Roman" w:cs="Times New Roman"/>
          <w:b w:val="false"/>
          <w:bCs w:val="false"/>
          <w:sz w:val="26"/>
          <w:szCs w:val="26"/>
        </w:rPr>
        <w:t xml:space="preserve">                                                                                        </w:t>
      </w:r>
      <w:r>
        <w:rPr>
          <w:rFonts w:eastAsia="Times New Roman" w:cs="Times New Roman"/>
          <w:b w:val="false"/>
          <w:bCs w:val="false"/>
          <w:sz w:val="26"/>
          <w:szCs w:val="26"/>
        </w:rPr>
        <w:t>«___»________________2026 год</w:t>
      </w:r>
    </w:p>
    <w:p>
      <w:pPr>
        <w:pStyle w:val="Style30"/>
        <w:ind w:left="4536" w:hanging="0"/>
        <w:rPr/>
      </w:pPr>
      <w:r>
        <w:rPr/>
      </w:r>
    </w:p>
    <w:p>
      <w:pPr>
        <w:pStyle w:val="Style30"/>
        <w:ind w:left="4536" w:hanging="0"/>
        <w:rPr/>
      </w:pPr>
      <w:r>
        <w:rPr/>
      </w:r>
    </w:p>
    <w:p>
      <w:pPr>
        <w:pStyle w:val="Style30"/>
        <w:ind w:left="4536" w:hanging="0"/>
        <w:rPr/>
      </w:pPr>
      <w:r>
        <w:rPr/>
      </w:r>
    </w:p>
    <w:p>
      <w:pPr>
        <w:pStyle w:val="Style30"/>
        <w:ind w:left="4536" w:hanging="0"/>
        <w:rPr/>
      </w:pPr>
      <w:r>
        <w:rPr/>
      </w:r>
    </w:p>
    <w:p>
      <w:pPr>
        <w:pStyle w:val="Style30"/>
        <w:ind w:left="4536" w:hanging="0"/>
        <w:rPr/>
      </w:pPr>
      <w:r>
        <w:rPr/>
      </w:r>
    </w:p>
    <w:p>
      <w:pPr>
        <w:pStyle w:val="Style30"/>
        <w:keepNext w:val="true"/>
        <w:numPr>
          <w:ilvl w:val="0"/>
          <w:numId w:val="0"/>
        </w:numPr>
        <w:ind w:left="0" w:hanging="0"/>
        <w:jc w:val="center"/>
        <w:outlineLvl w:val="2"/>
        <w:rPr>
          <w:b/>
          <w:bCs/>
          <w:caps/>
        </w:rPr>
      </w:pPr>
      <w:r>
        <w:rPr>
          <w:b/>
          <w:bCs/>
          <w:caps/>
        </w:rPr>
        <w:t>Документация о закупке</w:t>
      </w:r>
    </w:p>
    <w:p>
      <w:pPr>
        <w:pStyle w:val="Style30"/>
        <w:numPr>
          <w:ilvl w:val="0"/>
          <w:numId w:val="0"/>
        </w:numPr>
        <w:ind w:left="0" w:hanging="0"/>
        <w:jc w:val="center"/>
        <w:outlineLvl w:val="2"/>
        <w:rPr>
          <w:b/>
          <w:bCs/>
          <w:caps/>
        </w:rPr>
      </w:pPr>
      <w:r>
        <w:rPr>
          <w:b/>
          <w:bCs/>
          <w:caps/>
        </w:rPr>
      </w:r>
    </w:p>
    <w:p>
      <w:pPr>
        <w:pStyle w:val="Style30"/>
        <w:keepNext w:val="true"/>
        <w:spacing w:before="238" w:after="0"/>
        <w:contextualSpacing/>
        <w:jc w:val="center"/>
        <w:rPr/>
      </w:pPr>
      <w:r>
        <w:rPr>
          <w:sz w:val="26"/>
          <w:szCs w:val="26"/>
        </w:rPr>
        <w:t>Аукцион в электронной форме, на право заключения договора на: «</w:t>
      </w:r>
      <w:r>
        <w:rPr>
          <w:rStyle w:val="Style11"/>
          <w:i w:val="false"/>
          <w:iCs w:val="false"/>
          <w:sz w:val="26"/>
          <w:szCs w:val="26"/>
          <w:shd w:fill="auto" w:val="clear"/>
        </w:rPr>
        <w:t xml:space="preserve">ОКПД2 28.14.20 </w:t>
      </w:r>
      <w:r>
        <w:rPr>
          <w:rStyle w:val="Style11"/>
          <w:b/>
          <w:bCs/>
          <w:i w:val="false"/>
          <w:iCs w:val="false"/>
          <w:sz w:val="26"/>
          <w:szCs w:val="26"/>
          <w:shd w:fill="auto" w:val="clear"/>
        </w:rPr>
        <w:t>Поставка запасных частей и комплектующих к трубопроводной арматуре для нужд структурных подразделений АО «ДГК»</w:t>
      </w:r>
      <w:r>
        <w:rPr>
          <w:rStyle w:val="Style11"/>
          <w:i w:val="false"/>
          <w:iCs w:val="false"/>
          <w:sz w:val="26"/>
          <w:szCs w:val="26"/>
          <w:shd w:fill="auto" w:val="clear"/>
        </w:rPr>
        <w:t>»</w:t>
      </w:r>
    </w:p>
    <w:p>
      <w:pPr>
        <w:sectPr>
          <w:type w:val="nextPage"/>
          <w:pgSz w:w="11906" w:h="16838"/>
          <w:pgMar w:left="1134" w:right="850" w:gutter="0" w:header="0" w:top="851" w:footer="0" w:bottom="851"/>
          <w:pgNumType w:fmt="decimal"/>
          <w:formProt w:val="false"/>
          <w:textDirection w:val="lrTb"/>
          <w:docGrid w:type="default" w:linePitch="360" w:charSpace="0"/>
        </w:sectPr>
        <w:pStyle w:val="Style30"/>
        <w:keepNext w:val="true"/>
        <w:spacing w:before="240" w:after="0"/>
        <w:jc w:val="center"/>
        <w:rPr/>
      </w:pPr>
      <w:r>
        <w:rPr/>
        <w:t>(Лот №</w:t>
      </w:r>
      <w:r>
        <w:rPr>
          <w:i/>
          <w:iCs/>
        </w:rPr>
        <w:t> </w:t>
      </w:r>
      <w:r>
        <w:rPr>
          <w:rStyle w:val="Style11"/>
          <w:i w:val="false"/>
          <w:iCs w:val="false"/>
          <w:sz w:val="26"/>
          <w:szCs w:val="26"/>
          <w:shd w:fill="auto" w:val="clear"/>
          <w:lang w:eastAsia="en-US"/>
        </w:rPr>
        <w:t>12016005-РЕМ ПРОД-2027-ДГК</w:t>
      </w:r>
      <w:r>
        <w:rPr/>
        <w:t>)</w:t>
      </w:r>
    </w:p>
    <w:p>
      <w:pPr>
        <w:pStyle w:val="Style29"/>
        <w:numPr>
          <w:ilvl w:val="0"/>
          <w:numId w:val="0"/>
        </w:numPr>
        <w:ind w:left="0" w:hanging="0"/>
        <w:outlineLvl w:val="2"/>
        <w:rPr/>
      </w:pPr>
      <w:r>
        <w:rPr/>
        <w:t>Содержание</w:t>
      </w:r>
    </w:p>
    <w:sdt>
      <w:sdtPr>
        <w:docPartObj>
          <w:docPartGallery w:val="Table of Contents"/>
          <w:docPartUnique w:val="true"/>
        </w:docPartObj>
      </w:sdtPr>
      <w:sdtContent>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r>
            <w:fldChar w:fldCharType="begin"/>
          </w:r>
          <w:r>
            <w:rPr>
              <w:webHidden/>
              <w:rStyle w:val="Style20"/>
              <w:vanish w:val="false"/>
            </w:rPr>
            <w:instrText xml:space="preserve"> TOC \z \u \t "[РГ] Перечисление,5,[РГ] Подпункт,4,[РГ] Пункт,3,[РГ] Подраздел,2,[РГ] Раздел,1,[РГ] Раздел,1,[РГ] Раздел,1,[РГ] Раздел,1,[РГ] Раздел,1,[РГ] Раздел,1,[РГ] Раздел,1,[РГ] Подраздел,2,[РГ] Подраздел,2,[РГ] Подраздел,2,[РГ] Подраздел,2,[РГ] Подраздел,2,[РГ] Подраздел,2,[РГ] Пункт,3,[РГ] Пункт,3,[РГ] Пункт,3,[РГ] Пункт,3,[РГ] Пункт,3,[РГ] Подпункт,4,[РГ] Подпункт,4,[РГ] Подпункт,4,[РГ] Подпункт,4,[РГ] Подпункт,4,[РГ] Перечисление,5,[РГ] Перечисление,5,[РГ] Перечисление,5,[РГ] Перечисление,5,[РГ] Перечисление,5" \h</w:instrText>
          </w:r>
          <w:r>
            <w:rPr>
              <w:webHidden/>
              <w:rStyle w:val="Style20"/>
              <w:vanish w:val="false"/>
            </w:rPr>
            <w:fldChar w:fldCharType="separate"/>
          </w:r>
          <w:hyperlink w:anchor="_Toc228975991">
            <w:r>
              <w:rPr>
                <w:webHidden/>
              </w:rPr>
              <w:fldChar w:fldCharType="begin"/>
            </w:r>
            <w:r>
              <w:rPr>
                <w:webHidden/>
              </w:rPr>
              <w:instrText xml:space="preserve">PAGEREF _Toc228975991 \h</w:instrText>
            </w:r>
            <w:r>
              <w:rPr>
                <w:webHidden/>
              </w:rPr>
              <w:fldChar w:fldCharType="separate"/>
            </w:r>
            <w:r>
              <w:rPr>
                <w:webHidden/>
                <w:rStyle w:val="Style20"/>
                <w:vanish w:val="false"/>
              </w:rPr>
              <w:t>Сокращения</w:t>
              <w:tab/>
              <w:t>6</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975992">
            <w:r>
              <w:rPr>
                <w:webHidden/>
              </w:rPr>
              <w:fldChar w:fldCharType="begin"/>
            </w:r>
            <w:r>
              <w:rPr>
                <w:webHidden/>
              </w:rPr>
              <w:instrText xml:space="preserve">PAGEREF _Toc228975992 \h</w:instrText>
            </w:r>
            <w:r>
              <w:rPr>
                <w:webHidden/>
              </w:rPr>
              <w:fldChar w:fldCharType="separate"/>
            </w:r>
            <w:r>
              <w:rPr>
                <w:webHidden/>
                <w:rStyle w:val="Style20"/>
                <w:vanish w:val="false"/>
              </w:rPr>
              <w:t>Термины и определения</w:t>
              <w:tab/>
              <w:t>8</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975993">
            <w:r>
              <w:rPr>
                <w:webHidden/>
                <w:rStyle w:val="Style20"/>
                <w:vanish w:val="false"/>
              </w:rPr>
              <w:t>1.</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Основные сведения о закупке</w:t>
            </w:r>
            <w:r>
              <w:rPr>
                <w:webHidden/>
              </w:rPr>
              <w:fldChar w:fldCharType="begin"/>
            </w:r>
            <w:r>
              <w:rPr>
                <w:webHidden/>
              </w:rPr>
              <w:instrText xml:space="preserve">PAGEREF _Toc228975993 \h</w:instrText>
            </w:r>
            <w:r>
              <w:rPr>
                <w:webHidden/>
              </w:rPr>
              <w:fldChar w:fldCharType="separate"/>
            </w:r>
            <w:r>
              <w:rPr>
                <w:rStyle w:val="Style20"/>
                <w:vanish w:val="false"/>
              </w:rPr>
              <w:tab/>
              <w:t>12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5994">
            <w:r>
              <w:rPr>
                <w:webHidden/>
                <w:rStyle w:val="Style20"/>
                <w:vanish w:val="false"/>
              </w:rPr>
              <w:t>1.1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Статус настоящего раздела</w:t>
            </w:r>
            <w:r>
              <w:rPr>
                <w:webHidden/>
              </w:rPr>
              <w:fldChar w:fldCharType="begin"/>
            </w:r>
            <w:r>
              <w:rPr>
                <w:webHidden/>
              </w:rPr>
              <w:instrText xml:space="preserve">PAGEREF _Toc228975994 \h</w:instrText>
            </w:r>
            <w:r>
              <w:rPr>
                <w:webHidden/>
              </w:rPr>
              <w:fldChar w:fldCharType="separate"/>
            </w:r>
            <w:r>
              <w:rPr>
                <w:rStyle w:val="Style20"/>
                <w:vanish w:val="false"/>
              </w:rPr>
              <w:tab/>
              <w:t>12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5995">
            <w:r>
              <w:rPr>
                <w:webHidden/>
                <w:rStyle w:val="Style20"/>
                <w:vanish w:val="false"/>
              </w:rPr>
              <w:t>1.2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Информация о проводимой закупке</w:t>
            </w:r>
            <w:r>
              <w:rPr>
                <w:webHidden/>
              </w:rPr>
              <w:fldChar w:fldCharType="begin"/>
            </w:r>
            <w:r>
              <w:rPr>
                <w:webHidden/>
              </w:rPr>
              <w:instrText xml:space="preserve">PAGEREF _Toc228975995 \h</w:instrText>
            </w:r>
            <w:r>
              <w:rPr>
                <w:webHidden/>
              </w:rPr>
              <w:fldChar w:fldCharType="separate"/>
            </w:r>
            <w:r>
              <w:rPr>
                <w:rStyle w:val="Style20"/>
                <w:vanish w:val="false"/>
              </w:rPr>
              <w:tab/>
              <w:t>12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975996">
            <w:r>
              <w:rPr>
                <w:webHidden/>
                <w:rStyle w:val="Style20"/>
                <w:vanish w:val="false"/>
              </w:rPr>
              <w:t>2.</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Общие положения</w:t>
            </w:r>
            <w:r>
              <w:rPr>
                <w:webHidden/>
              </w:rPr>
              <w:fldChar w:fldCharType="begin"/>
            </w:r>
            <w:r>
              <w:rPr>
                <w:webHidden/>
              </w:rPr>
              <w:instrText xml:space="preserve">PAGEREF _Toc228975996 \h</w:instrText>
            </w:r>
            <w:r>
              <w:rPr>
                <w:webHidden/>
              </w:rPr>
              <w:fldChar w:fldCharType="separate"/>
            </w:r>
            <w:r>
              <w:rPr>
                <w:rStyle w:val="Style20"/>
                <w:vanish w:val="false"/>
              </w:rPr>
              <w:tab/>
              <w:t>24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5997">
            <w:r>
              <w:rPr>
                <w:webHidden/>
                <w:rStyle w:val="Style20"/>
                <w:vanish w:val="false"/>
              </w:rPr>
              <w:t>2.1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Общие сведения о закупке</w:t>
            </w:r>
            <w:r>
              <w:rPr>
                <w:webHidden/>
              </w:rPr>
              <w:fldChar w:fldCharType="begin"/>
            </w:r>
            <w:r>
              <w:rPr>
                <w:webHidden/>
              </w:rPr>
              <w:instrText xml:space="preserve">PAGEREF _Toc228975997 \h</w:instrText>
            </w:r>
            <w:r>
              <w:rPr>
                <w:webHidden/>
              </w:rPr>
              <w:fldChar w:fldCharType="separate"/>
            </w:r>
            <w:r>
              <w:rPr>
                <w:rStyle w:val="Style20"/>
                <w:vanish w:val="false"/>
              </w:rPr>
              <w:tab/>
              <w:t>24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5998">
            <w:r>
              <w:rPr>
                <w:webHidden/>
                <w:rStyle w:val="Style20"/>
                <w:vanish w:val="false"/>
              </w:rPr>
              <w:t>2.2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Правовой статус документов</w:t>
            </w:r>
            <w:r>
              <w:rPr>
                <w:webHidden/>
              </w:rPr>
              <w:fldChar w:fldCharType="begin"/>
            </w:r>
            <w:r>
              <w:rPr>
                <w:webHidden/>
              </w:rPr>
              <w:instrText xml:space="preserve">PAGEREF _Toc228975998 \h</w:instrText>
            </w:r>
            <w:r>
              <w:rPr>
                <w:webHidden/>
              </w:rPr>
              <w:fldChar w:fldCharType="separate"/>
            </w:r>
            <w:r>
              <w:rPr>
                <w:rStyle w:val="Style20"/>
                <w:vanish w:val="false"/>
              </w:rPr>
              <w:tab/>
              <w:t>24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5999">
            <w:r>
              <w:rPr>
                <w:webHidden/>
                <w:rStyle w:val="Style20"/>
                <w:vanish w:val="false"/>
              </w:rPr>
              <w:t>2.3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Обжалование</w:t>
            </w:r>
            <w:r>
              <w:rPr>
                <w:webHidden/>
              </w:rPr>
              <w:fldChar w:fldCharType="begin"/>
            </w:r>
            <w:r>
              <w:rPr>
                <w:webHidden/>
              </w:rPr>
              <w:instrText xml:space="preserve">PAGEREF _Toc228975999 \h</w:instrText>
            </w:r>
            <w:r>
              <w:rPr>
                <w:webHidden/>
              </w:rPr>
              <w:fldChar w:fldCharType="separate"/>
            </w:r>
            <w:r>
              <w:rPr>
                <w:rStyle w:val="Style20"/>
                <w:vanish w:val="false"/>
              </w:rPr>
              <w:tab/>
              <w:t>25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00">
            <w:r>
              <w:rPr>
                <w:webHidden/>
                <w:rStyle w:val="Style20"/>
                <w:vanish w:val="false"/>
              </w:rPr>
              <w:t>2.4</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Особые положения при проведении закупки с использованием ЭП</w:t>
            </w:r>
            <w:r>
              <w:rPr>
                <w:webHidden/>
              </w:rPr>
              <w:fldChar w:fldCharType="begin"/>
            </w:r>
            <w:r>
              <w:rPr>
                <w:webHidden/>
              </w:rPr>
              <w:instrText xml:space="preserve">PAGEREF _Toc228976000 \h</w:instrText>
            </w:r>
            <w:r>
              <w:rPr>
                <w:webHidden/>
              </w:rPr>
              <w:fldChar w:fldCharType="separate"/>
            </w:r>
            <w:r>
              <w:rPr>
                <w:rStyle w:val="Style20"/>
                <w:vanish w:val="false"/>
              </w:rPr>
              <w:tab/>
              <w:t>26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01">
            <w:r>
              <w:rPr>
                <w:webHidden/>
                <w:rStyle w:val="Style20"/>
                <w:vanish w:val="false"/>
              </w:rPr>
              <w:t>2.5</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Прочие положения</w:t>
            </w:r>
            <w:r>
              <w:rPr>
                <w:webHidden/>
              </w:rPr>
              <w:fldChar w:fldCharType="begin"/>
            </w:r>
            <w:r>
              <w:rPr>
                <w:webHidden/>
              </w:rPr>
              <w:instrText xml:space="preserve">PAGEREF _Toc228976001 \h</w:instrText>
            </w:r>
            <w:r>
              <w:rPr>
                <w:webHidden/>
              </w:rPr>
              <w:fldChar w:fldCharType="separate"/>
            </w:r>
            <w:r>
              <w:rPr>
                <w:rStyle w:val="Style20"/>
                <w:vanish w:val="false"/>
              </w:rPr>
              <w:tab/>
              <w:t>26</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976002">
            <w:r>
              <w:rPr>
                <w:webHidden/>
                <w:rStyle w:val="Style20"/>
                <w:vanish w:val="false"/>
              </w:rPr>
              <w:t>3.</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Требования к Участникам</w:t>
            </w:r>
            <w:r>
              <w:rPr>
                <w:webHidden/>
              </w:rPr>
              <w:fldChar w:fldCharType="begin"/>
            </w:r>
            <w:r>
              <w:rPr>
                <w:webHidden/>
              </w:rPr>
              <w:instrText xml:space="preserve">PAGEREF _Toc228976002 \h</w:instrText>
            </w:r>
            <w:r>
              <w:rPr>
                <w:webHidden/>
              </w:rPr>
              <w:fldChar w:fldCharType="separate"/>
            </w:r>
            <w:r>
              <w:rPr>
                <w:rStyle w:val="Style20"/>
                <w:vanish w:val="false"/>
              </w:rPr>
              <w:tab/>
              <w:t>28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03">
            <w:r>
              <w:rPr>
                <w:webHidden/>
                <w:rStyle w:val="Style20"/>
                <w:vanish w:val="false"/>
              </w:rPr>
              <w:t>3.1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Общие требования к Участникам</w:t>
            </w:r>
            <w:r>
              <w:rPr>
                <w:webHidden/>
              </w:rPr>
              <w:fldChar w:fldCharType="begin"/>
            </w:r>
            <w:r>
              <w:rPr>
                <w:webHidden/>
              </w:rPr>
              <w:instrText xml:space="preserve">PAGEREF _Toc228976003 \h</w:instrText>
            </w:r>
            <w:r>
              <w:rPr>
                <w:webHidden/>
              </w:rPr>
              <w:fldChar w:fldCharType="separate"/>
            </w:r>
            <w:r>
              <w:rPr>
                <w:rStyle w:val="Style20"/>
                <w:vanish w:val="false"/>
              </w:rPr>
              <w:tab/>
              <w:t>28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04">
            <w:r>
              <w:rPr>
                <w:webHidden/>
                <w:rStyle w:val="Style20"/>
                <w:vanish w:val="false"/>
              </w:rPr>
              <w:t>3.2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Коллективные участники</w:t>
            </w:r>
            <w:r>
              <w:rPr>
                <w:webHidden/>
              </w:rPr>
              <w:fldChar w:fldCharType="begin"/>
            </w:r>
            <w:r>
              <w:rPr>
                <w:webHidden/>
              </w:rPr>
              <w:instrText xml:space="preserve">PAGEREF _Toc228976004 \h</w:instrText>
            </w:r>
            <w:r>
              <w:rPr>
                <w:webHidden/>
              </w:rPr>
              <w:fldChar w:fldCharType="separate"/>
            </w:r>
            <w:r>
              <w:rPr>
                <w:rStyle w:val="Style20"/>
                <w:vanish w:val="false"/>
              </w:rPr>
              <w:tab/>
              <w:t>28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05">
            <w:r>
              <w:rPr>
                <w:webHidden/>
                <w:rStyle w:val="Style20"/>
                <w:vanish w:val="false"/>
              </w:rPr>
              <w:t>3.3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Генеральные подрядчики</w:t>
            </w:r>
            <w:r>
              <w:rPr>
                <w:webHidden/>
              </w:rPr>
              <w:fldChar w:fldCharType="begin"/>
            </w:r>
            <w:r>
              <w:rPr>
                <w:webHidden/>
              </w:rPr>
              <w:instrText xml:space="preserve">PAGEREF _Toc228976005 \h</w:instrText>
            </w:r>
            <w:r>
              <w:rPr>
                <w:webHidden/>
              </w:rPr>
              <w:fldChar w:fldCharType="separate"/>
            </w:r>
            <w:r>
              <w:rPr>
                <w:rStyle w:val="Style20"/>
                <w:vanish w:val="false"/>
              </w:rPr>
              <w:tab/>
              <w:t>30</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06">
            <w:r>
              <w:rPr>
                <w:webHidden/>
                <w:rStyle w:val="Style20"/>
                <w:vanish w:val="false"/>
              </w:rPr>
              <w:t>3.4</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Привлечение субподрядчиков (соисполнителей) из числа субъектов МСП</w:t>
            </w:r>
            <w:r>
              <w:rPr>
                <w:webHidden/>
              </w:rPr>
              <w:fldChar w:fldCharType="begin"/>
            </w:r>
            <w:r>
              <w:rPr>
                <w:webHidden/>
              </w:rPr>
              <w:instrText xml:space="preserve">PAGEREF _Toc228976006 \h</w:instrText>
            </w:r>
            <w:r>
              <w:rPr>
                <w:webHidden/>
              </w:rPr>
              <w:fldChar w:fldCharType="separate"/>
            </w:r>
            <w:r>
              <w:rPr>
                <w:rStyle w:val="Style20"/>
                <w:vanish w:val="false"/>
              </w:rPr>
              <w:tab/>
              <w:t>31</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976007">
            <w:r>
              <w:rPr>
                <w:webHidden/>
                <w:rStyle w:val="Style20"/>
                <w:vanish w:val="false"/>
              </w:rPr>
              <w:t>4.</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Порядок проведения закупки</w:t>
            </w:r>
            <w:r>
              <w:rPr>
                <w:webHidden/>
              </w:rPr>
              <w:fldChar w:fldCharType="begin"/>
            </w:r>
            <w:r>
              <w:rPr>
                <w:webHidden/>
              </w:rPr>
              <w:instrText xml:space="preserve">PAGEREF _Toc228976007 \h</w:instrText>
            </w:r>
            <w:r>
              <w:rPr>
                <w:webHidden/>
              </w:rPr>
              <w:fldChar w:fldCharType="separate"/>
            </w:r>
            <w:r>
              <w:rPr>
                <w:rStyle w:val="Style20"/>
                <w:vanish w:val="false"/>
              </w:rPr>
              <w:tab/>
              <w:t>33</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08">
            <w:r>
              <w:rPr>
                <w:webHidden/>
                <w:rStyle w:val="Style20"/>
                <w:vanish w:val="false"/>
              </w:rPr>
              <w:t>4.1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Общий порядок проведения закупки</w:t>
            </w:r>
            <w:r>
              <w:rPr>
                <w:webHidden/>
              </w:rPr>
              <w:fldChar w:fldCharType="begin"/>
            </w:r>
            <w:r>
              <w:rPr>
                <w:webHidden/>
              </w:rPr>
              <w:instrText xml:space="preserve">PAGEREF _Toc228976008 \h</w:instrText>
            </w:r>
            <w:r>
              <w:rPr>
                <w:webHidden/>
              </w:rPr>
              <w:fldChar w:fldCharType="separate"/>
            </w:r>
            <w:r>
              <w:rPr>
                <w:rStyle w:val="Style20"/>
                <w:vanish w:val="false"/>
              </w:rPr>
              <w:tab/>
              <w:t>33</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09">
            <w:r>
              <w:rPr>
                <w:webHidden/>
                <w:rStyle w:val="Style20"/>
                <w:vanish w:val="false"/>
              </w:rPr>
              <w:t>4.2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Официальное размещение Извещения и Документации о закупке</w:t>
            </w:r>
            <w:r>
              <w:rPr>
                <w:webHidden/>
              </w:rPr>
              <w:fldChar w:fldCharType="begin"/>
            </w:r>
            <w:r>
              <w:rPr>
                <w:webHidden/>
              </w:rPr>
              <w:instrText xml:space="preserve">PAGEREF _Toc228976009 \h</w:instrText>
            </w:r>
            <w:r>
              <w:rPr>
                <w:webHidden/>
              </w:rPr>
              <w:fldChar w:fldCharType="separate"/>
            </w:r>
            <w:r>
              <w:rPr>
                <w:rStyle w:val="Style20"/>
                <w:vanish w:val="false"/>
              </w:rPr>
              <w:tab/>
              <w:t>35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10">
            <w:r>
              <w:rPr>
                <w:webHidden/>
                <w:rStyle w:val="Style20"/>
                <w:vanish w:val="false"/>
              </w:rPr>
              <w:t>4.3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Подготовка заявки</w:t>
            </w:r>
            <w:r>
              <w:rPr>
                <w:webHidden/>
              </w:rPr>
              <w:fldChar w:fldCharType="begin"/>
            </w:r>
            <w:r>
              <w:rPr>
                <w:webHidden/>
              </w:rPr>
              <w:instrText xml:space="preserve">PAGEREF _Toc228976010 \h</w:instrText>
            </w:r>
            <w:r>
              <w:rPr>
                <w:webHidden/>
              </w:rPr>
              <w:fldChar w:fldCharType="separate"/>
            </w:r>
            <w:r>
              <w:rPr>
                <w:rStyle w:val="Style20"/>
                <w:vanish w:val="false"/>
              </w:rPr>
              <w:tab/>
              <w:t>35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11">
            <w:r>
              <w:rPr>
                <w:webHidden/>
                <w:rStyle w:val="Style20"/>
                <w:vanish w:val="false"/>
              </w:rPr>
              <w:t>4.4</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Разъяснение Документации о закупке</w:t>
            </w:r>
            <w:r>
              <w:rPr>
                <w:webHidden/>
              </w:rPr>
              <w:fldChar w:fldCharType="begin"/>
            </w:r>
            <w:r>
              <w:rPr>
                <w:webHidden/>
              </w:rPr>
              <w:instrText xml:space="preserve">PAGEREF _Toc228976011 \h</w:instrText>
            </w:r>
            <w:r>
              <w:rPr>
                <w:webHidden/>
              </w:rPr>
              <w:fldChar w:fldCharType="separate"/>
            </w:r>
            <w:r>
              <w:rPr>
                <w:rStyle w:val="Style20"/>
                <w:vanish w:val="false"/>
              </w:rPr>
              <w:tab/>
              <w:t>38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12">
            <w:r>
              <w:rPr>
                <w:webHidden/>
                <w:rStyle w:val="Style20"/>
                <w:vanish w:val="false"/>
              </w:rPr>
              <w:t>4.5</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Изменения Извещения и (или) Документации о закупке</w:t>
            </w:r>
            <w:r>
              <w:rPr>
                <w:webHidden/>
              </w:rPr>
              <w:fldChar w:fldCharType="begin"/>
            </w:r>
            <w:r>
              <w:rPr>
                <w:webHidden/>
              </w:rPr>
              <w:instrText xml:space="preserve">PAGEREF _Toc228976012 \h</w:instrText>
            </w:r>
            <w:r>
              <w:rPr>
                <w:webHidden/>
              </w:rPr>
              <w:fldChar w:fldCharType="separate"/>
            </w:r>
            <w:r>
              <w:rPr>
                <w:rStyle w:val="Style20"/>
                <w:vanish w:val="false"/>
              </w:rPr>
              <w:tab/>
              <w:t>39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13">
            <w:r>
              <w:rPr>
                <w:webHidden/>
                <w:rStyle w:val="Style20"/>
                <w:vanish w:val="false"/>
              </w:rPr>
              <w:t>4.6</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Подача заявок и их прием</w:t>
            </w:r>
            <w:r>
              <w:rPr>
                <w:webHidden/>
              </w:rPr>
              <w:fldChar w:fldCharType="begin"/>
            </w:r>
            <w:r>
              <w:rPr>
                <w:webHidden/>
              </w:rPr>
              <w:instrText xml:space="preserve">PAGEREF _Toc228976013 \h</w:instrText>
            </w:r>
            <w:r>
              <w:rPr>
                <w:webHidden/>
              </w:rPr>
              <w:fldChar w:fldCharType="separate"/>
            </w:r>
            <w:r>
              <w:rPr>
                <w:rStyle w:val="Style20"/>
                <w:vanish w:val="false"/>
              </w:rPr>
              <w:tab/>
              <w:t>39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14">
            <w:r>
              <w:rPr>
                <w:webHidden/>
                <w:rStyle w:val="Style20"/>
                <w:vanish w:val="false"/>
              </w:rPr>
              <w:t>4.7</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Изменение и отзыв заявок</w:t>
            </w:r>
            <w:r>
              <w:rPr>
                <w:webHidden/>
              </w:rPr>
              <w:fldChar w:fldCharType="begin"/>
            </w:r>
            <w:r>
              <w:rPr>
                <w:webHidden/>
              </w:rPr>
              <w:instrText xml:space="preserve">PAGEREF _Toc228976014 \h</w:instrText>
            </w:r>
            <w:r>
              <w:rPr>
                <w:webHidden/>
              </w:rPr>
              <w:fldChar w:fldCharType="separate"/>
            </w:r>
            <w:r>
              <w:rPr>
                <w:rStyle w:val="Style20"/>
                <w:vanish w:val="false"/>
              </w:rPr>
              <w:tab/>
              <w:t>40</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15">
            <w:r>
              <w:rPr>
                <w:webHidden/>
                <w:rStyle w:val="Style20"/>
                <w:vanish w:val="false"/>
              </w:rPr>
              <w:t>4.8</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Открытие доступа к заявкам</w:t>
            </w:r>
            <w:r>
              <w:rPr>
                <w:webHidden/>
              </w:rPr>
              <w:fldChar w:fldCharType="begin"/>
            </w:r>
            <w:r>
              <w:rPr>
                <w:webHidden/>
              </w:rPr>
              <w:instrText xml:space="preserve">PAGEREF _Toc228976015 \h</w:instrText>
            </w:r>
            <w:r>
              <w:rPr>
                <w:webHidden/>
              </w:rPr>
              <w:fldChar w:fldCharType="separate"/>
            </w:r>
            <w:r>
              <w:rPr>
                <w:rStyle w:val="Style20"/>
                <w:vanish w:val="false"/>
              </w:rPr>
              <w:tab/>
              <w:t>40</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16">
            <w:r>
              <w:rPr>
                <w:webHidden/>
                <w:rStyle w:val="Style20"/>
                <w:vanish w:val="false"/>
              </w:rPr>
              <w:t>4.9</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Рассмотрение заявок (отборочная стадия), в том числе (при необходимости) проведение аккредитации</w:t>
            </w:r>
            <w:r>
              <w:rPr>
                <w:webHidden/>
              </w:rPr>
              <w:fldChar w:fldCharType="begin"/>
            </w:r>
            <w:r>
              <w:rPr>
                <w:webHidden/>
              </w:rPr>
              <w:instrText xml:space="preserve">PAGEREF _Toc228976016 \h</w:instrText>
            </w:r>
            <w:r>
              <w:rPr>
                <w:webHidden/>
              </w:rPr>
              <w:fldChar w:fldCharType="separate"/>
            </w:r>
            <w:r>
              <w:rPr>
                <w:rStyle w:val="Style20"/>
                <w:vanish w:val="false"/>
              </w:rPr>
              <w:tab/>
              <w:t>40</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17">
            <w:r>
              <w:rPr>
                <w:webHidden/>
                <w:rStyle w:val="Style20"/>
                <w:vanish w:val="false"/>
              </w:rPr>
              <w:t>4.10</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Дополнительные запросы разъяснений заявок</w:t>
            </w:r>
            <w:r>
              <w:rPr>
                <w:webHidden/>
              </w:rPr>
              <w:fldChar w:fldCharType="begin"/>
            </w:r>
            <w:r>
              <w:rPr>
                <w:webHidden/>
              </w:rPr>
              <w:instrText xml:space="preserve">PAGEREF _Toc228976017 \h</w:instrText>
            </w:r>
            <w:r>
              <w:rPr>
                <w:webHidden/>
              </w:rPr>
              <w:fldChar w:fldCharType="separate"/>
            </w:r>
            <w:r>
              <w:rPr>
                <w:rStyle w:val="Style20"/>
                <w:vanish w:val="false"/>
              </w:rPr>
              <w:tab/>
              <w:t>42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18">
            <w:r>
              <w:rPr>
                <w:webHidden/>
                <w:rStyle w:val="Style20"/>
                <w:vanish w:val="false"/>
              </w:rPr>
              <w:t>4.11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Проведение аукциона</w:t>
            </w:r>
            <w:r>
              <w:rPr>
                <w:webHidden/>
              </w:rPr>
              <w:fldChar w:fldCharType="begin"/>
            </w:r>
            <w:r>
              <w:rPr>
                <w:webHidden/>
              </w:rPr>
              <w:instrText xml:space="preserve">PAGEREF _Toc228976018 \h</w:instrText>
            </w:r>
            <w:r>
              <w:rPr>
                <w:webHidden/>
              </w:rPr>
              <w:fldChar w:fldCharType="separate"/>
            </w:r>
            <w:r>
              <w:rPr>
                <w:rStyle w:val="Style20"/>
                <w:vanish w:val="false"/>
              </w:rPr>
              <w:tab/>
              <w:t>44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19">
            <w:r>
              <w:rPr>
                <w:webHidden/>
                <w:rStyle w:val="Style20"/>
                <w:vanish w:val="false"/>
              </w:rPr>
              <w:t>4.12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Оценка и сопоставление заявок</w:t>
            </w:r>
            <w:r>
              <w:rPr>
                <w:webHidden/>
              </w:rPr>
              <w:fldChar w:fldCharType="begin"/>
            </w:r>
            <w:r>
              <w:rPr>
                <w:webHidden/>
              </w:rPr>
              <w:instrText xml:space="preserve">PAGEREF _Toc228976019 \h</w:instrText>
            </w:r>
            <w:r>
              <w:rPr>
                <w:webHidden/>
              </w:rPr>
              <w:fldChar w:fldCharType="separate"/>
            </w:r>
            <w:r>
              <w:rPr>
                <w:rStyle w:val="Style20"/>
                <w:vanish w:val="false"/>
              </w:rPr>
              <w:tab/>
              <w:t>45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20">
            <w:r>
              <w:rPr>
                <w:webHidden/>
                <w:rStyle w:val="Style20"/>
                <w:vanish w:val="false"/>
              </w:rPr>
              <w:t>4.13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Применение законодательства о национальном режиме</w:t>
            </w:r>
            <w:r>
              <w:rPr>
                <w:webHidden/>
              </w:rPr>
              <w:fldChar w:fldCharType="begin"/>
            </w:r>
            <w:r>
              <w:rPr>
                <w:webHidden/>
              </w:rPr>
              <w:instrText xml:space="preserve">PAGEREF _Toc228976020 \h</w:instrText>
            </w:r>
            <w:r>
              <w:rPr>
                <w:webHidden/>
              </w:rPr>
              <w:fldChar w:fldCharType="separate"/>
            </w:r>
            <w:r>
              <w:rPr>
                <w:rStyle w:val="Style20"/>
                <w:vanish w:val="false"/>
              </w:rPr>
              <w:tab/>
              <w:t>46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21">
            <w:r>
              <w:rPr>
                <w:webHidden/>
                <w:rStyle w:val="Style20"/>
                <w:vanish w:val="false"/>
              </w:rPr>
              <w:t>4.14</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Подведение итогов закупки (определение Победителя)</w:t>
            </w:r>
            <w:r>
              <w:rPr>
                <w:webHidden/>
              </w:rPr>
              <w:fldChar w:fldCharType="begin"/>
            </w:r>
            <w:r>
              <w:rPr>
                <w:webHidden/>
              </w:rPr>
              <w:instrText xml:space="preserve">PAGEREF _Toc228976021 \h</w:instrText>
            </w:r>
            <w:r>
              <w:rPr>
                <w:webHidden/>
              </w:rPr>
              <w:fldChar w:fldCharType="separate"/>
            </w:r>
            <w:r>
              <w:rPr>
                <w:rStyle w:val="Style20"/>
                <w:vanish w:val="false"/>
              </w:rPr>
              <w:tab/>
              <w:t>48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22">
            <w:r>
              <w:rPr>
                <w:webHidden/>
                <w:rStyle w:val="Style20"/>
                <w:vanish w:val="false"/>
              </w:rPr>
              <w:t>4.15</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Признание закупки несостоявшейся</w:t>
            </w:r>
            <w:r>
              <w:rPr>
                <w:webHidden/>
              </w:rPr>
              <w:fldChar w:fldCharType="begin"/>
            </w:r>
            <w:r>
              <w:rPr>
                <w:webHidden/>
              </w:rPr>
              <w:instrText xml:space="preserve">PAGEREF _Toc228976022 \h</w:instrText>
            </w:r>
            <w:r>
              <w:rPr>
                <w:webHidden/>
              </w:rPr>
              <w:fldChar w:fldCharType="separate"/>
            </w:r>
            <w:r>
              <w:rPr>
                <w:rStyle w:val="Style20"/>
                <w:vanish w:val="false"/>
              </w:rPr>
              <w:tab/>
              <w:t>50</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23">
            <w:r>
              <w:rPr>
                <w:webHidden/>
                <w:rStyle w:val="Style20"/>
                <w:vanish w:val="false"/>
              </w:rPr>
              <w:t>4.16</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Отказ от проведения закупки (отмена закупки)</w:t>
            </w:r>
            <w:r>
              <w:rPr>
                <w:webHidden/>
              </w:rPr>
              <w:fldChar w:fldCharType="begin"/>
            </w:r>
            <w:r>
              <w:rPr>
                <w:webHidden/>
              </w:rPr>
              <w:instrText xml:space="preserve">PAGEREF _Toc228976023 \h</w:instrText>
            </w:r>
            <w:r>
              <w:rPr>
                <w:webHidden/>
              </w:rPr>
              <w:fldChar w:fldCharType="separate"/>
            </w:r>
            <w:r>
              <w:rPr>
                <w:rStyle w:val="Style20"/>
                <w:vanish w:val="false"/>
              </w:rPr>
              <w:tab/>
              <w:t>51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24">
            <w:r>
              <w:rPr>
                <w:webHidden/>
                <w:rStyle w:val="Style20"/>
                <w:vanish w:val="false"/>
              </w:rPr>
              <w:t>4.17</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Особенности проведения закупки с необходимостью обеспечения заявки</w:t>
            </w:r>
            <w:r>
              <w:rPr>
                <w:webHidden/>
              </w:rPr>
              <w:fldChar w:fldCharType="begin"/>
            </w:r>
            <w:r>
              <w:rPr>
                <w:webHidden/>
              </w:rPr>
              <w:instrText xml:space="preserve">PAGEREF _Toc228976024 \h</w:instrText>
            </w:r>
            <w:r>
              <w:rPr>
                <w:webHidden/>
              </w:rPr>
              <w:fldChar w:fldCharType="separate"/>
            </w:r>
            <w:r>
              <w:rPr>
                <w:rStyle w:val="Style20"/>
                <w:vanish w:val="false"/>
              </w:rPr>
              <w:tab/>
              <w:t>51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25">
            <w:r>
              <w:rPr>
                <w:webHidden/>
                <w:rStyle w:val="Style20"/>
                <w:vanish w:val="false"/>
              </w:rPr>
              <w:t>4.18</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Особенности проведения многолотовой закупки</w:t>
            </w:r>
            <w:r>
              <w:rPr>
                <w:webHidden/>
              </w:rPr>
              <w:fldChar w:fldCharType="begin"/>
            </w:r>
            <w:r>
              <w:rPr>
                <w:webHidden/>
              </w:rPr>
              <w:instrText xml:space="preserve">PAGEREF _Toc228976025 \h</w:instrText>
            </w:r>
            <w:r>
              <w:rPr>
                <w:webHidden/>
              </w:rPr>
              <w:fldChar w:fldCharType="separate"/>
            </w:r>
            <w:r>
              <w:rPr>
                <w:rStyle w:val="Style20"/>
                <w:vanish w:val="false"/>
              </w:rPr>
              <w:tab/>
              <w:t>54</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976026">
            <w:r>
              <w:rPr>
                <w:webHidden/>
                <w:rStyle w:val="Style20"/>
                <w:vanish w:val="false"/>
              </w:rPr>
              <w:t>5.</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Порядок заключения Договора</w:t>
            </w:r>
            <w:r>
              <w:rPr>
                <w:webHidden/>
              </w:rPr>
              <w:fldChar w:fldCharType="begin"/>
            </w:r>
            <w:r>
              <w:rPr>
                <w:webHidden/>
              </w:rPr>
              <w:instrText xml:space="preserve">PAGEREF _Toc228976026 \h</w:instrText>
            </w:r>
            <w:r>
              <w:rPr>
                <w:webHidden/>
              </w:rPr>
              <w:fldChar w:fldCharType="separate"/>
            </w:r>
            <w:r>
              <w:rPr>
                <w:rStyle w:val="Style20"/>
                <w:vanish w:val="false"/>
              </w:rPr>
              <w:tab/>
              <w:t>56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27">
            <w:r>
              <w:rPr>
                <w:webHidden/>
                <w:rStyle w:val="Style20"/>
                <w:vanish w:val="false"/>
              </w:rPr>
              <w:t>5.1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Общие положения</w:t>
            </w:r>
            <w:r>
              <w:rPr>
                <w:webHidden/>
              </w:rPr>
              <w:fldChar w:fldCharType="begin"/>
            </w:r>
            <w:r>
              <w:rPr>
                <w:webHidden/>
              </w:rPr>
              <w:instrText xml:space="preserve">PAGEREF _Toc228976027 \h</w:instrText>
            </w:r>
            <w:r>
              <w:rPr>
                <w:webHidden/>
              </w:rPr>
              <w:fldChar w:fldCharType="separate"/>
            </w:r>
            <w:r>
              <w:rPr>
                <w:rStyle w:val="Style20"/>
                <w:vanish w:val="false"/>
              </w:rPr>
              <w:tab/>
              <w:t>56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28">
            <w:r>
              <w:rPr>
                <w:webHidden/>
                <w:rStyle w:val="Style20"/>
                <w:vanish w:val="false"/>
              </w:rPr>
              <w:t>5.2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Заключение Договора</w:t>
            </w:r>
            <w:r>
              <w:rPr>
                <w:webHidden/>
              </w:rPr>
              <w:fldChar w:fldCharType="begin"/>
            </w:r>
            <w:r>
              <w:rPr>
                <w:webHidden/>
              </w:rPr>
              <w:instrText xml:space="preserve">PAGEREF _Toc228976028 \h</w:instrText>
            </w:r>
            <w:r>
              <w:rPr>
                <w:webHidden/>
              </w:rPr>
              <w:fldChar w:fldCharType="separate"/>
            </w:r>
            <w:r>
              <w:rPr>
                <w:rStyle w:val="Style20"/>
                <w:vanish w:val="false"/>
              </w:rPr>
              <w:tab/>
              <w:t>56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29">
            <w:r>
              <w:rPr>
                <w:webHidden/>
                <w:rStyle w:val="Style20"/>
                <w:vanish w:val="false"/>
              </w:rPr>
              <w:t>5.3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Преддоговорные переговоры</w:t>
            </w:r>
            <w:r>
              <w:rPr>
                <w:webHidden/>
              </w:rPr>
              <w:fldChar w:fldCharType="begin"/>
            </w:r>
            <w:r>
              <w:rPr>
                <w:webHidden/>
              </w:rPr>
              <w:instrText xml:space="preserve">PAGEREF _Toc228976029 \h</w:instrText>
            </w:r>
            <w:r>
              <w:rPr>
                <w:webHidden/>
              </w:rPr>
              <w:fldChar w:fldCharType="separate"/>
            </w:r>
            <w:r>
              <w:rPr>
                <w:rStyle w:val="Style20"/>
                <w:vanish w:val="false"/>
              </w:rPr>
              <w:tab/>
              <w:t>59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30">
            <w:r>
              <w:rPr>
                <w:webHidden/>
                <w:rStyle w:val="Style20"/>
                <w:vanish w:val="false"/>
              </w:rPr>
              <w:t>5.4</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Уклонение Победителя от заключения Договора</w:t>
            </w:r>
            <w:r>
              <w:rPr>
                <w:webHidden/>
              </w:rPr>
              <w:fldChar w:fldCharType="begin"/>
            </w:r>
            <w:r>
              <w:rPr>
                <w:webHidden/>
              </w:rPr>
              <w:instrText xml:space="preserve">PAGEREF _Toc228976030 \h</w:instrText>
            </w:r>
            <w:r>
              <w:rPr>
                <w:webHidden/>
              </w:rPr>
              <w:fldChar w:fldCharType="separate"/>
            </w:r>
            <w:r>
              <w:rPr>
                <w:rStyle w:val="Style20"/>
                <w:vanish w:val="false"/>
              </w:rPr>
              <w:tab/>
              <w:t>60</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976031">
            <w:r>
              <w:rPr>
                <w:webHidden/>
                <w:rStyle w:val="Style20"/>
                <w:vanish w:val="false"/>
              </w:rPr>
              <w:t>6.</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1 – Технические требования</w:t>
            </w:r>
            <w:r>
              <w:rPr>
                <w:webHidden/>
              </w:rPr>
              <w:fldChar w:fldCharType="begin"/>
            </w:r>
            <w:r>
              <w:rPr>
                <w:webHidden/>
              </w:rPr>
              <w:instrText xml:space="preserve">PAGEREF _Toc228976031 \h</w:instrText>
            </w:r>
            <w:r>
              <w:rPr>
                <w:webHidden/>
              </w:rPr>
              <w:fldChar w:fldCharType="separate"/>
            </w:r>
            <w:r>
              <w:rPr>
                <w:rStyle w:val="Style20"/>
                <w:vanish w:val="false"/>
              </w:rPr>
              <w:tab/>
              <w:t>61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32">
            <w:r>
              <w:rPr>
                <w:webHidden/>
                <w:rStyle w:val="Style20"/>
                <w:vanish w:val="false"/>
              </w:rPr>
              <w:t>6.1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Техническим требованиям</w:t>
            </w:r>
            <w:r>
              <w:rPr>
                <w:webHidden/>
              </w:rPr>
              <w:fldChar w:fldCharType="begin"/>
            </w:r>
            <w:r>
              <w:rPr>
                <w:webHidden/>
              </w:rPr>
              <w:instrText xml:space="preserve">PAGEREF _Toc228976032 \h</w:instrText>
            </w:r>
            <w:r>
              <w:rPr>
                <w:webHidden/>
              </w:rPr>
              <w:fldChar w:fldCharType="separate"/>
            </w:r>
            <w:r>
              <w:rPr>
                <w:rStyle w:val="Style20"/>
                <w:vanish w:val="false"/>
              </w:rPr>
              <w:tab/>
              <w:t>61</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976033">
            <w:r>
              <w:rPr>
                <w:webHidden/>
                <w:rStyle w:val="Style20"/>
                <w:vanish w:val="false"/>
              </w:rPr>
              <w:t>7.</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2 – Проект договора</w:t>
            </w:r>
            <w:r>
              <w:rPr>
                <w:webHidden/>
              </w:rPr>
              <w:fldChar w:fldCharType="begin"/>
            </w:r>
            <w:r>
              <w:rPr>
                <w:webHidden/>
              </w:rPr>
              <w:instrText xml:space="preserve">PAGEREF _Toc228976033 \h</w:instrText>
            </w:r>
            <w:r>
              <w:rPr>
                <w:webHidden/>
              </w:rPr>
              <w:fldChar w:fldCharType="separate"/>
            </w:r>
            <w:r>
              <w:rPr>
                <w:rStyle w:val="Style20"/>
                <w:vanish w:val="false"/>
              </w:rPr>
              <w:tab/>
              <w:t>62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34">
            <w:r>
              <w:rPr>
                <w:webHidden/>
                <w:rStyle w:val="Style20"/>
                <w:vanish w:val="false"/>
              </w:rPr>
              <w:t>7.1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Проекту договора</w:t>
            </w:r>
            <w:r>
              <w:rPr>
                <w:webHidden/>
              </w:rPr>
              <w:fldChar w:fldCharType="begin"/>
            </w:r>
            <w:r>
              <w:rPr>
                <w:webHidden/>
              </w:rPr>
              <w:instrText xml:space="preserve">PAGEREF _Toc228976034 \h</w:instrText>
            </w:r>
            <w:r>
              <w:rPr>
                <w:webHidden/>
              </w:rPr>
              <w:fldChar w:fldCharType="separate"/>
            </w:r>
            <w:r>
              <w:rPr>
                <w:rStyle w:val="Style20"/>
                <w:vanish w:val="false"/>
              </w:rPr>
              <w:tab/>
              <w:t>62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976035">
            <w:r>
              <w:rPr>
                <w:webHidden/>
                <w:rStyle w:val="Style20"/>
                <w:vanish w:val="false"/>
              </w:rPr>
              <w:t>8.</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3 – Требования к Участникам</w:t>
            </w:r>
            <w:r>
              <w:rPr>
                <w:webHidden/>
              </w:rPr>
              <w:fldChar w:fldCharType="begin"/>
            </w:r>
            <w:r>
              <w:rPr>
                <w:webHidden/>
              </w:rPr>
              <w:instrText xml:space="preserve">PAGEREF _Toc228976035 \h</w:instrText>
            </w:r>
            <w:r>
              <w:rPr>
                <w:webHidden/>
              </w:rPr>
              <w:fldChar w:fldCharType="separate"/>
            </w:r>
            <w:r>
              <w:rPr>
                <w:rStyle w:val="Style20"/>
                <w:vanish w:val="false"/>
              </w:rPr>
              <w:tab/>
              <w:t>63</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36">
            <w:r>
              <w:rPr>
                <w:webHidden/>
                <w:rStyle w:val="Style20"/>
                <w:vanish w:val="false"/>
              </w:rPr>
              <w:t>8.1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требованиям к Участникам</w:t>
            </w:r>
            <w:r>
              <w:rPr>
                <w:webHidden/>
              </w:rPr>
              <w:fldChar w:fldCharType="begin"/>
            </w:r>
            <w:r>
              <w:rPr>
                <w:webHidden/>
              </w:rPr>
              <w:instrText xml:space="preserve">PAGEREF _Toc228976036 \h</w:instrText>
            </w:r>
            <w:r>
              <w:rPr>
                <w:webHidden/>
              </w:rPr>
              <w:fldChar w:fldCharType="separate"/>
            </w:r>
            <w:r>
              <w:rPr>
                <w:rStyle w:val="Style20"/>
                <w:vanish w:val="false"/>
              </w:rPr>
              <w:tab/>
              <w:t>63</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37">
            <w:r>
              <w:rPr>
                <w:webHidden/>
                <w:rStyle w:val="Style20"/>
                <w:vanish w:val="false"/>
              </w:rPr>
              <w:t>8.2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Обязательные требования</w:t>
            </w:r>
            <w:r>
              <w:rPr>
                <w:webHidden/>
              </w:rPr>
              <w:fldChar w:fldCharType="begin"/>
            </w:r>
            <w:r>
              <w:rPr>
                <w:webHidden/>
              </w:rPr>
              <w:instrText xml:space="preserve">PAGEREF _Toc228976037 \h</w:instrText>
            </w:r>
            <w:r>
              <w:rPr>
                <w:webHidden/>
              </w:rPr>
              <w:fldChar w:fldCharType="separate"/>
            </w:r>
            <w:r>
              <w:rPr>
                <w:rStyle w:val="Style20"/>
                <w:vanish w:val="false"/>
              </w:rPr>
              <w:tab/>
              <w:t>63</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38">
            <w:r>
              <w:rPr>
                <w:webHidden/>
                <w:rStyle w:val="Style20"/>
                <w:vanish w:val="false"/>
              </w:rPr>
              <w:t>8.3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Специальные требования</w:t>
            </w:r>
            <w:r>
              <w:rPr>
                <w:webHidden/>
              </w:rPr>
              <w:fldChar w:fldCharType="begin"/>
            </w:r>
            <w:r>
              <w:rPr>
                <w:webHidden/>
              </w:rPr>
              <w:instrText xml:space="preserve">PAGEREF _Toc228976038 \h</w:instrText>
            </w:r>
            <w:r>
              <w:rPr>
                <w:webHidden/>
              </w:rPr>
              <w:fldChar w:fldCharType="separate"/>
            </w:r>
            <w:r>
              <w:rPr>
                <w:rStyle w:val="Style20"/>
                <w:vanish w:val="false"/>
              </w:rPr>
              <w:tab/>
              <w:t>66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39">
            <w:r>
              <w:rPr>
                <w:webHidden/>
                <w:rStyle w:val="Style20"/>
                <w:vanish w:val="false"/>
              </w:rPr>
              <w:t>8.4</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Квалификационные требования</w:t>
            </w:r>
            <w:r>
              <w:rPr>
                <w:webHidden/>
              </w:rPr>
              <w:fldChar w:fldCharType="begin"/>
            </w:r>
            <w:r>
              <w:rPr>
                <w:webHidden/>
              </w:rPr>
              <w:instrText xml:space="preserve">PAGEREF _Toc228976039 \h</w:instrText>
            </w:r>
            <w:r>
              <w:rPr>
                <w:webHidden/>
              </w:rPr>
              <w:fldChar w:fldCharType="separate"/>
            </w:r>
            <w:r>
              <w:rPr>
                <w:rStyle w:val="Style20"/>
                <w:vanish w:val="false"/>
              </w:rPr>
              <w:tab/>
              <w:t>67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40">
            <w:r>
              <w:rPr>
                <w:webHidden/>
                <w:rStyle w:val="Style20"/>
                <w:vanish w:val="false"/>
              </w:rPr>
              <w:t>8.5</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Дополнительные требования к Коллективным участникам</w:t>
            </w:r>
            <w:r>
              <w:rPr>
                <w:webHidden/>
              </w:rPr>
              <w:fldChar w:fldCharType="begin"/>
            </w:r>
            <w:r>
              <w:rPr>
                <w:webHidden/>
              </w:rPr>
              <w:instrText xml:space="preserve">PAGEREF _Toc228976040 \h</w:instrText>
            </w:r>
            <w:r>
              <w:rPr>
                <w:webHidden/>
              </w:rPr>
              <w:fldChar w:fldCharType="separate"/>
            </w:r>
            <w:r>
              <w:rPr>
                <w:rStyle w:val="Style20"/>
                <w:vanish w:val="false"/>
              </w:rPr>
              <w:tab/>
              <w:t>68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41">
            <w:r>
              <w:rPr>
                <w:webHidden/>
                <w:rStyle w:val="Style20"/>
                <w:vanish w:val="false"/>
              </w:rPr>
              <w:t>8.6</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Дополнительные требования к Генеральным подрядчикам</w:t>
            </w:r>
            <w:r>
              <w:rPr>
                <w:webHidden/>
              </w:rPr>
              <w:fldChar w:fldCharType="begin"/>
            </w:r>
            <w:r>
              <w:rPr>
                <w:webHidden/>
              </w:rPr>
              <w:instrText xml:space="preserve">PAGEREF _Toc228976041 \h</w:instrText>
            </w:r>
            <w:r>
              <w:rPr>
                <w:webHidden/>
              </w:rPr>
              <w:fldChar w:fldCharType="separate"/>
            </w:r>
            <w:r>
              <w:rPr>
                <w:rStyle w:val="Style20"/>
                <w:vanish w:val="false"/>
              </w:rPr>
              <w:tab/>
              <w:t>69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42">
            <w:r>
              <w:rPr>
                <w:webHidden/>
                <w:rStyle w:val="Style20"/>
                <w:vanish w:val="false"/>
              </w:rPr>
              <w:t>8.7</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Дополнительные требования в отношении Генеральных подрядчиков с обязательным привлечением субподрядчиков (соисполнителей) из числа субъектов МСП</w:t>
            </w:r>
            <w:r>
              <w:rPr>
                <w:webHidden/>
              </w:rPr>
              <w:fldChar w:fldCharType="begin"/>
            </w:r>
            <w:r>
              <w:rPr>
                <w:webHidden/>
              </w:rPr>
              <w:instrText xml:space="preserve">PAGEREF _Toc228976042 \h</w:instrText>
            </w:r>
            <w:r>
              <w:rPr>
                <w:webHidden/>
              </w:rPr>
              <w:fldChar w:fldCharType="separate"/>
            </w:r>
            <w:r>
              <w:rPr>
                <w:rStyle w:val="Style20"/>
                <w:vanish w:val="false"/>
              </w:rPr>
              <w:tab/>
              <w:t>70</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976043">
            <w:r>
              <w:rPr>
                <w:webHidden/>
                <w:rStyle w:val="Style20"/>
                <w:vanish w:val="false"/>
              </w:rPr>
              <w:t>9.</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4 – Образцы форм документов, включаемых в состав заявки</w:t>
            </w:r>
            <w:r>
              <w:rPr>
                <w:webHidden/>
              </w:rPr>
              <w:fldChar w:fldCharType="begin"/>
            </w:r>
            <w:r>
              <w:rPr>
                <w:webHidden/>
              </w:rPr>
              <w:instrText xml:space="preserve">PAGEREF _Toc228976043 \h</w:instrText>
            </w:r>
            <w:r>
              <w:rPr>
                <w:webHidden/>
              </w:rPr>
              <w:fldChar w:fldCharType="separate"/>
            </w:r>
            <w:r>
              <w:rPr>
                <w:rStyle w:val="Style20"/>
                <w:vanish w:val="false"/>
              </w:rPr>
              <w:tab/>
              <w:t>72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44">
            <w:r>
              <w:rPr>
                <w:webHidden/>
                <w:rStyle w:val="Style20"/>
                <w:vanish w:val="false"/>
              </w:rPr>
              <w:t>9.1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Образцам форм документов, включаемых в состав заявки</w:t>
            </w:r>
            <w:r>
              <w:rPr>
                <w:webHidden/>
              </w:rPr>
              <w:fldChar w:fldCharType="begin"/>
            </w:r>
            <w:r>
              <w:rPr>
                <w:webHidden/>
              </w:rPr>
              <w:instrText xml:space="preserve">PAGEREF _Toc228976044 \h</w:instrText>
            </w:r>
            <w:r>
              <w:rPr>
                <w:webHidden/>
              </w:rPr>
              <w:fldChar w:fldCharType="separate"/>
            </w:r>
            <w:r>
              <w:rPr>
                <w:rStyle w:val="Style20"/>
                <w:vanish w:val="false"/>
              </w:rPr>
              <w:tab/>
              <w:t>72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976045">
            <w:r>
              <w:rPr>
                <w:webHidden/>
                <w:rStyle w:val="Style20"/>
                <w:vanish w:val="false"/>
              </w:rPr>
              <w:t>10.</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5 – Образцы форм документов, предоставляемых Победителем</w:t>
            </w:r>
            <w:r>
              <w:rPr>
                <w:webHidden/>
              </w:rPr>
              <w:fldChar w:fldCharType="begin"/>
            </w:r>
            <w:r>
              <w:rPr>
                <w:webHidden/>
              </w:rPr>
              <w:instrText xml:space="preserve">PAGEREF _Toc228976045 \h</w:instrText>
            </w:r>
            <w:r>
              <w:rPr>
                <w:webHidden/>
              </w:rPr>
              <w:fldChar w:fldCharType="separate"/>
            </w:r>
            <w:r>
              <w:rPr>
                <w:rStyle w:val="Style20"/>
                <w:vanish w:val="false"/>
              </w:rPr>
              <w:tab/>
              <w:t>73</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46">
            <w:r>
              <w:rPr>
                <w:webHidden/>
                <w:rStyle w:val="Style20"/>
                <w:vanish w:val="false"/>
              </w:rPr>
              <w:t>10.1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Образцам форм документов, предоставляемых Победителем</w:t>
            </w:r>
            <w:r>
              <w:rPr>
                <w:webHidden/>
              </w:rPr>
              <w:fldChar w:fldCharType="begin"/>
            </w:r>
            <w:r>
              <w:rPr>
                <w:webHidden/>
              </w:rPr>
              <w:instrText xml:space="preserve">PAGEREF _Toc228976046 \h</w:instrText>
            </w:r>
            <w:r>
              <w:rPr>
                <w:webHidden/>
              </w:rPr>
              <w:fldChar w:fldCharType="separate"/>
            </w:r>
            <w:r>
              <w:rPr>
                <w:rStyle w:val="Style20"/>
                <w:vanish w:val="false"/>
              </w:rPr>
              <w:tab/>
              <w:t>73</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47">
            <w:r>
              <w:rPr>
                <w:webHidden/>
                <w:rStyle w:val="Style20"/>
                <w:vanish w:val="false"/>
              </w:rPr>
              <w:t>10.2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Форма справки «Сведения о цепочке собственников, включая бенефициаров (в том числе конечных)»</w:t>
            </w:r>
            <w:r>
              <w:rPr>
                <w:webHidden/>
              </w:rPr>
              <w:fldChar w:fldCharType="begin"/>
            </w:r>
            <w:r>
              <w:rPr>
                <w:webHidden/>
              </w:rPr>
              <w:instrText xml:space="preserve">PAGEREF _Toc228976047 \h</w:instrText>
            </w:r>
            <w:r>
              <w:rPr>
                <w:webHidden/>
              </w:rPr>
              <w:fldChar w:fldCharType="separate"/>
            </w:r>
            <w:r>
              <w:rPr>
                <w:rStyle w:val="Style20"/>
                <w:vanish w:val="false"/>
              </w:rPr>
              <w:tab/>
              <w:t>73</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48">
            <w:r>
              <w:rPr>
                <w:webHidden/>
                <w:rStyle w:val="Style20"/>
                <w:vanish w:val="false"/>
              </w:rPr>
              <w:t>10.3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Форма «Заверение об обстоятельствах»</w:t>
            </w:r>
            <w:r>
              <w:rPr>
                <w:webHidden/>
              </w:rPr>
              <w:fldChar w:fldCharType="begin"/>
            </w:r>
            <w:r>
              <w:rPr>
                <w:webHidden/>
              </w:rPr>
              <w:instrText xml:space="preserve">PAGEREF _Toc228976048 \h</w:instrText>
            </w:r>
            <w:r>
              <w:rPr>
                <w:webHidden/>
              </w:rPr>
              <w:fldChar w:fldCharType="separate"/>
            </w:r>
            <w:r>
              <w:rPr>
                <w:rStyle w:val="Style20"/>
                <w:vanish w:val="false"/>
              </w:rPr>
              <w:tab/>
              <w:t>73</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976049">
            <w:r>
              <w:rPr>
                <w:webHidden/>
                <w:rStyle w:val="Style20"/>
                <w:vanish w:val="false"/>
              </w:rPr>
              <w:t>11.</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6 – Состав заявки</w:t>
            </w:r>
            <w:r>
              <w:rPr>
                <w:webHidden/>
              </w:rPr>
              <w:fldChar w:fldCharType="begin"/>
            </w:r>
            <w:r>
              <w:rPr>
                <w:webHidden/>
              </w:rPr>
              <w:instrText xml:space="preserve">PAGEREF _Toc228976049 \h</w:instrText>
            </w:r>
            <w:r>
              <w:rPr>
                <w:webHidden/>
              </w:rPr>
              <w:fldChar w:fldCharType="separate"/>
            </w:r>
            <w:r>
              <w:rPr>
                <w:rStyle w:val="Style20"/>
                <w:vanish w:val="false"/>
              </w:rPr>
              <w:tab/>
              <w:t>75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50">
            <w:r>
              <w:rPr>
                <w:webHidden/>
                <w:rStyle w:val="Style20"/>
                <w:vanish w:val="false"/>
              </w:rPr>
              <w:t>11.1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Состав заявки</w:t>
            </w:r>
            <w:r>
              <w:rPr>
                <w:webHidden/>
              </w:rPr>
              <w:fldChar w:fldCharType="begin"/>
            </w:r>
            <w:r>
              <w:rPr>
                <w:webHidden/>
              </w:rPr>
              <w:instrText xml:space="preserve">PAGEREF _Toc228976050 \h</w:instrText>
            </w:r>
            <w:r>
              <w:rPr>
                <w:webHidden/>
              </w:rPr>
              <w:fldChar w:fldCharType="separate"/>
            </w:r>
            <w:r>
              <w:rPr>
                <w:rStyle w:val="Style20"/>
                <w:vanish w:val="false"/>
              </w:rPr>
              <w:tab/>
              <w:t>75</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976051">
            <w:r>
              <w:rPr>
                <w:webHidden/>
                <w:rStyle w:val="Style20"/>
                <w:vanish w:val="false"/>
              </w:rPr>
              <w:t>12.</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7 – Отборочные критерии рассмотрения заявок</w:t>
            </w:r>
            <w:r>
              <w:rPr>
                <w:webHidden/>
              </w:rPr>
              <w:fldChar w:fldCharType="begin"/>
            </w:r>
            <w:r>
              <w:rPr>
                <w:webHidden/>
              </w:rPr>
              <w:instrText xml:space="preserve">PAGEREF _Toc228976051 \h</w:instrText>
            </w:r>
            <w:r>
              <w:rPr>
                <w:webHidden/>
              </w:rPr>
              <w:fldChar w:fldCharType="separate"/>
            </w:r>
            <w:r>
              <w:rPr>
                <w:rStyle w:val="Style20"/>
                <w:vanish w:val="false"/>
              </w:rPr>
              <w:tab/>
              <w:t>78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52">
            <w:r>
              <w:rPr>
                <w:webHidden/>
                <w:rStyle w:val="Style20"/>
                <w:vanish w:val="false"/>
              </w:rPr>
              <w:t>12.1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Отборочные критерии рассмотрения заявок</w:t>
            </w:r>
            <w:r>
              <w:rPr>
                <w:webHidden/>
              </w:rPr>
              <w:fldChar w:fldCharType="begin"/>
            </w:r>
            <w:r>
              <w:rPr>
                <w:webHidden/>
              </w:rPr>
              <w:instrText xml:space="preserve">PAGEREF _Toc228976052 \h</w:instrText>
            </w:r>
            <w:r>
              <w:rPr>
                <w:webHidden/>
              </w:rPr>
              <w:fldChar w:fldCharType="separate"/>
            </w:r>
            <w:r>
              <w:rPr>
                <w:rStyle w:val="Style20"/>
                <w:vanish w:val="false"/>
              </w:rPr>
              <w:tab/>
              <w:t>78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53">
            <w:r>
              <w:rPr>
                <w:webHidden/>
                <w:rStyle w:val="Style20"/>
                <w:vanish w:val="false"/>
              </w:rPr>
              <w:t>12.2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Дополнительные критерии проверки заявок на соответствие условиям Документации о закупке</w:t>
            </w:r>
            <w:r>
              <w:rPr>
                <w:webHidden/>
              </w:rPr>
              <w:fldChar w:fldCharType="begin"/>
            </w:r>
            <w:r>
              <w:rPr>
                <w:webHidden/>
              </w:rPr>
              <w:instrText xml:space="preserve">PAGEREF _Toc228976053 \h</w:instrText>
            </w:r>
            <w:r>
              <w:rPr>
                <w:webHidden/>
              </w:rPr>
              <w:fldChar w:fldCharType="separate"/>
            </w:r>
            <w:r>
              <w:rPr>
                <w:rStyle w:val="Style20"/>
                <w:vanish w:val="false"/>
              </w:rPr>
              <w:tab/>
              <w:t>83</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976054">
            <w:r>
              <w:rPr>
                <w:webHidden/>
                <w:rStyle w:val="Style20"/>
                <w:vanish w:val="false"/>
              </w:rPr>
              <w:t>13.</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8 – Порядок и критерии оценки и сопоставления заявок</w:t>
            </w:r>
            <w:r>
              <w:rPr>
                <w:webHidden/>
              </w:rPr>
              <w:fldChar w:fldCharType="begin"/>
            </w:r>
            <w:r>
              <w:rPr>
                <w:webHidden/>
              </w:rPr>
              <w:instrText xml:space="preserve">PAGEREF _Toc228976054 \h</w:instrText>
            </w:r>
            <w:r>
              <w:rPr>
                <w:webHidden/>
              </w:rPr>
              <w:fldChar w:fldCharType="separate"/>
            </w:r>
            <w:r>
              <w:rPr>
                <w:rStyle w:val="Style20"/>
                <w:vanish w:val="false"/>
              </w:rPr>
              <w:tab/>
              <w:t>86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55">
            <w:r>
              <w:rPr>
                <w:webHidden/>
                <w:rStyle w:val="Style20"/>
                <w:vanish w:val="false"/>
              </w:rPr>
              <w:t>13.1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Порядок и критерии оценки и сопоставления заявок</w:t>
            </w:r>
            <w:r>
              <w:rPr>
                <w:webHidden/>
              </w:rPr>
              <w:fldChar w:fldCharType="begin"/>
            </w:r>
            <w:r>
              <w:rPr>
                <w:webHidden/>
              </w:rPr>
              <w:instrText xml:space="preserve">PAGEREF _Toc228976055 \h</w:instrText>
            </w:r>
            <w:r>
              <w:rPr>
                <w:webHidden/>
              </w:rPr>
              <w:fldChar w:fldCharType="separate"/>
            </w:r>
            <w:r>
              <w:rPr>
                <w:rStyle w:val="Style20"/>
                <w:vanish w:val="false"/>
              </w:rPr>
              <w:tab/>
              <w:t>86</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976056">
            <w:r>
              <w:rPr>
                <w:webHidden/>
                <w:rStyle w:val="Style20"/>
                <w:vanish w:val="false"/>
              </w:rPr>
              <w:t>14.</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9 – Обоснование НМЦ</w:t>
            </w:r>
            <w:r>
              <w:rPr>
                <w:webHidden/>
              </w:rPr>
              <w:fldChar w:fldCharType="begin"/>
            </w:r>
            <w:r>
              <w:rPr>
                <w:webHidden/>
              </w:rPr>
              <w:instrText xml:space="preserve">PAGEREF _Toc228976056 \h</w:instrText>
            </w:r>
            <w:r>
              <w:rPr>
                <w:webHidden/>
              </w:rPr>
              <w:fldChar w:fldCharType="separate"/>
            </w:r>
            <w:r>
              <w:rPr>
                <w:rStyle w:val="Style20"/>
                <w:vanish w:val="false"/>
              </w:rPr>
              <w:tab/>
              <w:t>87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57">
            <w:r>
              <w:rPr>
                <w:webHidden/>
                <w:rStyle w:val="Style20"/>
                <w:vanish w:val="false"/>
              </w:rPr>
              <w:t>14.1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Обоснованию НМЦ</w:t>
            </w:r>
            <w:r>
              <w:rPr>
                <w:webHidden/>
              </w:rPr>
              <w:fldChar w:fldCharType="begin"/>
            </w:r>
            <w:r>
              <w:rPr>
                <w:webHidden/>
              </w:rPr>
              <w:instrText xml:space="preserve">PAGEREF _Toc228976057 \h</w:instrText>
            </w:r>
            <w:r>
              <w:rPr>
                <w:webHidden/>
              </w:rPr>
              <w:fldChar w:fldCharType="separate"/>
            </w:r>
            <w:r>
              <w:rPr>
                <w:rStyle w:val="Style20"/>
                <w:vanish w:val="false"/>
              </w:rPr>
              <w:tab/>
              <w:t>87</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976058">
            <w:r>
              <w:rPr>
                <w:webHidden/>
                <w:rStyle w:val="Style20"/>
                <w:vanish w:val="false"/>
              </w:rPr>
              <w:t>15.</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10 – Форма Заявки на аккредитацию</w:t>
            </w:r>
            <w:r>
              <w:rPr>
                <w:webHidden/>
              </w:rPr>
              <w:fldChar w:fldCharType="begin"/>
            </w:r>
            <w:r>
              <w:rPr>
                <w:webHidden/>
              </w:rPr>
              <w:instrText xml:space="preserve">PAGEREF _Toc228976058 \h</w:instrText>
            </w:r>
            <w:r>
              <w:rPr>
                <w:webHidden/>
              </w:rPr>
              <w:fldChar w:fldCharType="separate"/>
            </w:r>
            <w:r>
              <w:rPr>
                <w:rStyle w:val="Style20"/>
                <w:vanish w:val="false"/>
              </w:rPr>
              <w:tab/>
              <w:t>88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59">
            <w:r>
              <w:rPr>
                <w:webHidden/>
                <w:rStyle w:val="Style20"/>
                <w:vanish w:val="false"/>
              </w:rPr>
              <w:t>15.1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форме Заявки на аккредитацию</w:t>
            </w:r>
            <w:r>
              <w:rPr>
                <w:webHidden/>
              </w:rPr>
              <w:fldChar w:fldCharType="begin"/>
            </w:r>
            <w:r>
              <w:rPr>
                <w:webHidden/>
              </w:rPr>
              <w:instrText xml:space="preserve">PAGEREF _Toc228976059 \h</w:instrText>
            </w:r>
            <w:r>
              <w:rPr>
                <w:webHidden/>
              </w:rPr>
              <w:fldChar w:fldCharType="separate"/>
            </w:r>
            <w:r>
              <w:rPr>
                <w:rStyle w:val="Style20"/>
                <w:vanish w:val="false"/>
              </w:rPr>
              <w:tab/>
              <w:t>88</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8976060">
            <w:r>
              <w:rPr>
                <w:webHidden/>
                <w:rStyle w:val="Style20"/>
                <w:vanish w:val="false"/>
              </w:rPr>
              <w:t>16.</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11 – форма Данных бухгалтерской (финансовой) отчетности</w:t>
            </w:r>
            <w:r>
              <w:rPr>
                <w:webHidden/>
              </w:rPr>
              <w:fldChar w:fldCharType="begin"/>
            </w:r>
            <w:r>
              <w:rPr>
                <w:webHidden/>
              </w:rPr>
              <w:instrText xml:space="preserve">PAGEREF _Toc228976060 \h</w:instrText>
            </w:r>
            <w:r>
              <w:rPr>
                <w:webHidden/>
              </w:rPr>
              <w:fldChar w:fldCharType="separate"/>
            </w:r>
            <w:r>
              <w:rPr>
                <w:rStyle w:val="Style20"/>
                <w:vanish w:val="false"/>
              </w:rPr>
              <w:tab/>
              <w:t>89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8976061">
            <w:r>
              <w:rPr>
                <w:webHidden/>
                <w:rStyle w:val="Style20"/>
                <w:vanish w:val="false"/>
              </w:rPr>
              <w:t>16.1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форме Данных бухгалтерской (финансовой) отчетности</w:t>
            </w:r>
            <w:r>
              <w:rPr>
                <w:webHidden/>
              </w:rPr>
              <w:fldChar w:fldCharType="begin"/>
            </w:r>
            <w:r>
              <w:rPr>
                <w:webHidden/>
              </w:rPr>
              <w:instrText xml:space="preserve">PAGEREF _Toc228976061 \h</w:instrText>
            </w:r>
            <w:r>
              <w:rPr>
                <w:webHidden/>
              </w:rPr>
              <w:fldChar w:fldCharType="separate"/>
            </w:r>
            <w:r>
              <w:rPr>
                <w:rStyle w:val="Style20"/>
                <w:vanish w:val="false"/>
              </w:rPr>
              <w:tab/>
              <w:t>89</w:t>
            </w:r>
            <w:r>
              <w:rPr>
                <w:webHidden/>
              </w:rPr>
              <w:fldChar w:fldCharType="end"/>
            </w:r>
          </w:hyperlink>
          <w:r>
            <w:rPr>
              <w:rStyle w:val="Style20"/>
              <w:vanish w:val="false"/>
            </w:rPr>
            <w:fldChar w:fldCharType="end"/>
          </w:r>
        </w:p>
      </w:sdtContent>
    </w:sdt>
    <w:p>
      <w:pPr>
        <w:pStyle w:val="Style30"/>
        <w:jc w:val="both"/>
        <w:rPr/>
      </w:pPr>
      <w:r>
        <w:rPr/>
      </w:r>
    </w:p>
    <w:p>
      <w:pPr>
        <w:pStyle w:val="Style30"/>
        <w:keepNext w:val="true"/>
        <w:spacing w:before="60" w:after="0"/>
        <w:rPr>
          <w:rStyle w:val="Style17"/>
        </w:rPr>
      </w:pPr>
      <w:r>
        <w:rPr>
          <w:rStyle w:val="Style17"/>
        </w:rPr>
        <w:t xml:space="preserve">[Примечание (дополнительные удобства работы с Документацией о закупке; Microsoft Word | </w:t>
      </w:r>
      <w:r>
        <w:rPr>
          <w:rStyle w:val="Style17"/>
          <w:color w:val="4472C4" w:themeColor="accent1"/>
        </w:rPr>
        <w:t>AlterOffice AText – отмечены отличая для данного текстового редактора</w:t>
      </w:r>
      <w:r>
        <w:rPr>
          <w:rStyle w:val="Style17"/>
        </w:rPr>
        <w:t>):</w:t>
      </w:r>
    </w:p>
    <w:p>
      <w:pPr>
        <w:pStyle w:val="Style30"/>
        <w:numPr>
          <w:ilvl w:val="0"/>
          <w:numId w:val="13"/>
        </w:numPr>
        <w:spacing w:before="60" w:after="0"/>
        <w:ind w:left="284" w:hanging="284"/>
        <w:rPr>
          <w:rStyle w:val="Style17"/>
        </w:rPr>
      </w:pPr>
      <w:r>
        <w:rPr>
          <w:rStyle w:val="Style17"/>
        </w:rPr>
        <w:t xml:space="preserve">для навигации рекомендуется использовать боковое меню – включается на вкладке «Вид» в разделе «Отображение» опцией «Область навигации» | </w:t>
      </w:r>
      <w:r>
        <w:rPr>
          <w:rStyle w:val="Style17"/>
          <w:color w:val="4472C4" w:themeColor="accent1"/>
        </w:rPr>
        <w:t>включается на вкладке «Вид» опцией «Навигатор»</w:t>
      </w:r>
      <w:r>
        <w:rPr>
          <w:rStyle w:val="Style17"/>
        </w:rPr>
        <w:t>;</w:t>
      </w:r>
    </w:p>
    <w:p>
      <w:pPr>
        <w:pStyle w:val="Style30"/>
        <w:numPr>
          <w:ilvl w:val="0"/>
          <w:numId w:val="13"/>
        </w:numPr>
        <w:spacing w:before="60" w:after="0"/>
        <w:ind w:left="284" w:hanging="284"/>
        <w:rPr>
          <w:rStyle w:val="Style17"/>
        </w:rPr>
      </w:pPr>
      <w:r>
        <w:rPr>
          <w:rStyle w:val="Style17"/>
        </w:rPr>
        <w:t>переход по перекрестным и другим ссылкам осуществляется левым кликом мыши с</w:t>
      </w:r>
      <w:r>
        <w:rPr>
          <w:rStyle w:val="Style17"/>
          <w:lang w:val="en-US"/>
        </w:rPr>
        <w:t> </w:t>
      </w:r>
      <w:r>
        <w:rPr>
          <w:rStyle w:val="Style17"/>
        </w:rPr>
        <w:t xml:space="preserve">зажатой клавишей Ctrl, обратный возврат на место в тексте, с которого был сделан переход, осуществляется нажатием стрелки влево (←) с зажатой левой клавишей Alt </w:t>
      </w:r>
      <w:r>
        <w:rPr>
          <w:rStyle w:val="Style17"/>
          <w:color w:val="4472C4" w:themeColor="accent1"/>
        </w:rPr>
        <w:t>(обратный переход функционально не реализован в AlterOffice AText, пользуйтесь функциональностью «Навигатор»)</w:t>
      </w:r>
      <w:r>
        <w:rPr>
          <w:rStyle w:val="Style17"/>
        </w:rPr>
        <w:t>;</w:t>
      </w:r>
    </w:p>
    <w:p>
      <w:pPr>
        <w:pStyle w:val="Style30"/>
        <w:numPr>
          <w:ilvl w:val="0"/>
          <w:numId w:val="13"/>
        </w:numPr>
        <w:spacing w:before="60" w:after="0"/>
        <w:ind w:left="284" w:hanging="284"/>
        <w:rPr>
          <w:rStyle w:val="Style17"/>
        </w:rPr>
      </w:pPr>
      <w:r>
        <w:rPr>
          <w:rStyle w:val="Style17"/>
        </w:rPr>
        <w:t>открытие внедренного в текст документа (файла) осуществляется по двойному клику левой клавиши мыши по соответствующей иконке документа (файла) в</w:t>
      </w:r>
      <w:r>
        <w:rPr>
          <w:rStyle w:val="Style17"/>
          <w:lang w:val="en-US"/>
        </w:rPr>
        <w:t> </w:t>
      </w:r>
      <w:r>
        <w:rPr>
          <w:rStyle w:val="Style17"/>
        </w:rPr>
        <w:t>тексте;</w:t>
      </w:r>
    </w:p>
    <w:p>
      <w:pPr>
        <w:pStyle w:val="Style30"/>
        <w:numPr>
          <w:ilvl w:val="0"/>
          <w:numId w:val="13"/>
        </w:numPr>
        <w:spacing w:before="60" w:after="0"/>
        <w:ind w:left="284" w:hanging="284"/>
        <w:rPr>
          <w:rStyle w:val="Style17"/>
        </w:rPr>
      </w:pPr>
      <w:r>
        <w:rPr>
          <w:rStyle w:val="Style17"/>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Style17"/>
        </w:rPr>
        <w:t>.]</w:t>
      </w:r>
    </w:p>
    <w:p>
      <w:pPr>
        <w:pStyle w:val="Style29"/>
        <w:numPr>
          <w:ilvl w:val="0"/>
          <w:numId w:val="0"/>
        </w:numPr>
        <w:ind w:left="0" w:hanging="0"/>
        <w:outlineLvl w:val="0"/>
        <w:rPr/>
      </w:pPr>
      <w:bookmarkStart w:id="0" w:name="_Toc228975991"/>
      <w:r>
        <w:rPr/>
        <w:t>Сокращения</w:t>
      </w:r>
      <w:bookmarkEnd w:id="0"/>
    </w:p>
    <w:p>
      <w:pPr>
        <w:pStyle w:val="Style30"/>
        <w:ind w:firstLine="567"/>
        <w:rPr/>
      </w:pPr>
      <w:r>
        <w:rPr>
          <w:b/>
          <w:bCs/>
        </w:rPr>
        <w:t>ГК РФ</w:t>
      </w:r>
      <w:r>
        <w:rPr/>
        <w:t xml:space="preserve"> – Гражданской кодекс Российской Федерации.</w:t>
      </w:r>
    </w:p>
    <w:p>
      <w:pPr>
        <w:pStyle w:val="Style30"/>
        <w:ind w:firstLine="567"/>
        <w:rPr/>
      </w:pPr>
      <w:r>
        <w:rPr>
          <w:b/>
          <w:bCs/>
        </w:rPr>
        <w:t>ЕАЭС</w:t>
      </w:r>
      <w:r>
        <w:rPr/>
        <w:t xml:space="preserve"> – Евразийский экономический союз.</w:t>
      </w:r>
    </w:p>
    <w:p>
      <w:pPr>
        <w:pStyle w:val="Style30"/>
        <w:ind w:firstLine="567"/>
        <w:rPr/>
      </w:pPr>
      <w:r>
        <w:rPr>
          <w:b/>
          <w:bCs/>
        </w:rPr>
        <w:t>ЕГРИП</w:t>
      </w:r>
      <w:r>
        <w:rPr/>
        <w:t xml:space="preserve"> – Единый государственный реестр индивидуальных предпринимателей.</w:t>
      </w:r>
    </w:p>
    <w:p>
      <w:pPr>
        <w:pStyle w:val="Style30"/>
        <w:ind w:firstLine="567"/>
        <w:rPr/>
      </w:pPr>
      <w:r>
        <w:rPr>
          <w:b/>
          <w:bCs/>
        </w:rPr>
        <w:t>ЕГРЮЛ</w:t>
      </w:r>
      <w:r>
        <w:rPr/>
        <w:t xml:space="preserve"> – Единый государственный реестр юридических лиц.</w:t>
      </w:r>
    </w:p>
    <w:p>
      <w:pPr>
        <w:pStyle w:val="Style30"/>
        <w:ind w:firstLine="567"/>
        <w:rPr/>
      </w:pPr>
      <w:r>
        <w:rPr>
          <w:b/>
          <w:bCs/>
        </w:rPr>
        <w:t>ЕИС</w:t>
      </w:r>
      <w:r>
        <w:rPr/>
        <w:t xml:space="preserve"> – Единая информационная система в сфере закупок.</w:t>
      </w:r>
    </w:p>
    <w:p>
      <w:pPr>
        <w:pStyle w:val="Style30"/>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30"/>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30"/>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30"/>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30"/>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30"/>
        <w:ind w:firstLine="567"/>
        <w:rPr/>
      </w:pPr>
      <w:r>
        <w:rPr>
          <w:b/>
          <w:bCs/>
        </w:rPr>
        <w:t>Извещение</w:t>
      </w:r>
      <w:r>
        <w:rPr/>
        <w:t xml:space="preserve"> – извещение о проведении настоящей закупки.</w:t>
      </w:r>
    </w:p>
    <w:p>
      <w:pPr>
        <w:pStyle w:val="Style30"/>
        <w:ind w:firstLine="567"/>
        <w:rPr/>
      </w:pPr>
      <w:r>
        <w:rPr>
          <w:b/>
          <w:bCs/>
        </w:rPr>
        <w:t>ИНН</w:t>
      </w:r>
      <w:r>
        <w:rPr/>
        <w:t xml:space="preserve"> – идентификационный номер налогоплательщика.</w:t>
      </w:r>
    </w:p>
    <w:p>
      <w:pPr>
        <w:pStyle w:val="Style30"/>
        <w:ind w:firstLine="567"/>
        <w:rPr/>
      </w:pPr>
      <w:r>
        <w:rPr>
          <w:b/>
          <w:bCs/>
        </w:rPr>
        <w:t>ИФНС</w:t>
      </w:r>
      <w:r>
        <w:rPr/>
        <w:t xml:space="preserve"> – инспекция Федеральной налоговой службы Российской Федерации.</w:t>
      </w:r>
    </w:p>
    <w:p>
      <w:pPr>
        <w:pStyle w:val="Style30"/>
        <w:ind w:firstLine="567"/>
        <w:rPr/>
      </w:pPr>
      <w:r>
        <w:rPr>
          <w:b/>
          <w:bCs/>
        </w:rPr>
        <w:t>МТР</w:t>
      </w:r>
      <w:r>
        <w:rPr/>
        <w:t xml:space="preserve"> – материально-технические ресурсы.</w:t>
      </w:r>
    </w:p>
    <w:p>
      <w:pPr>
        <w:pStyle w:val="Style30"/>
        <w:ind w:firstLine="567"/>
        <w:rPr/>
      </w:pPr>
      <w:r>
        <w:rPr>
          <w:b/>
          <w:bCs/>
        </w:rPr>
        <w:t>НДС</w:t>
      </w:r>
      <w:r>
        <w:rPr/>
        <w:t xml:space="preserve"> – налог на добавленную стоимость.</w:t>
      </w:r>
    </w:p>
    <w:p>
      <w:pPr>
        <w:pStyle w:val="Style30"/>
        <w:ind w:firstLine="567"/>
        <w:rPr/>
      </w:pPr>
      <w:r>
        <w:rPr>
          <w:b/>
          <w:bCs/>
        </w:rPr>
        <w:t>НМЦ</w:t>
      </w:r>
      <w:r>
        <w:rPr/>
        <w:t xml:space="preserve"> – начальная (максимальная) цена договора.</w:t>
      </w:r>
    </w:p>
    <w:p>
      <w:pPr>
        <w:pStyle w:val="Style30"/>
        <w:ind w:firstLine="567"/>
        <w:rPr/>
      </w:pPr>
      <w:r>
        <w:rPr>
          <w:b/>
          <w:bCs/>
        </w:rPr>
        <w:t>Оператор ЭП</w:t>
      </w:r>
      <w:r>
        <w:rPr/>
        <w:t xml:space="preserve"> – оператор электронной площадки.</w:t>
      </w:r>
    </w:p>
    <w:p>
      <w:pPr>
        <w:pStyle w:val="Style30"/>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30"/>
        <w:ind w:firstLine="567"/>
        <w:rPr/>
      </w:pPr>
      <w:r>
        <w:rPr>
          <w:b/>
          <w:bCs/>
        </w:rPr>
        <w:t>Положение о закупке</w:t>
      </w:r>
      <w:r>
        <w:rPr/>
        <w:t xml:space="preserve"> – Единое Положение о закупке продукции для нужд Группы РусГидро.</w:t>
      </w:r>
    </w:p>
    <w:p>
      <w:pPr>
        <w:pStyle w:val="Style30"/>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30"/>
        <w:ind w:firstLine="567"/>
        <w:rPr/>
      </w:pPr>
      <w:r>
        <w:rPr>
          <w:b/>
          <w:bCs/>
        </w:rPr>
        <w:t>ПП 325</w:t>
      </w:r>
      <w:r>
        <w:rPr/>
        <w:t xml:space="preserve"> – постановление Правительства Российской Федерации от 23.03.2017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pPr>
        <w:pStyle w:val="Style30"/>
        <w:ind w:firstLine="567"/>
        <w:rPr/>
      </w:pPr>
      <w:r>
        <w:rPr>
          <w:b/>
          <w:bCs/>
        </w:rPr>
        <w:t>ПП 719</w:t>
      </w:r>
      <w:r>
        <w:rPr/>
        <w:t xml:space="preserve"> – постановление Правительства Российской Федерации от 17.07. 2014 № 719 «О подтверждении производства российской промышленной продукции».</w:t>
      </w:r>
    </w:p>
    <w:p>
      <w:pPr>
        <w:pStyle w:val="Style30"/>
        <w:ind w:firstLine="567"/>
        <w:rPr/>
      </w:pPr>
      <w:r>
        <w:rPr>
          <w:b/>
          <w:bCs/>
        </w:rPr>
        <w:t>ПП 1352</w:t>
      </w:r>
      <w:r>
        <w:rPr/>
        <w:t xml:space="preserve"> – постановление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30"/>
        <w:ind w:firstLine="567"/>
        <w:rPr/>
      </w:pPr>
      <w:r>
        <w:rPr>
          <w:b/>
          <w:bCs/>
        </w:rPr>
        <w:t>ПП 1875</w:t>
      </w:r>
      <w:r>
        <w:rPr/>
        <w:t xml:space="preserve"> – постановление Правительства Российской Федерации от 23.12.2024 №</w:t>
      </w:r>
      <w:r>
        <w:rPr>
          <w:lang w:val="en-US"/>
        </w:rPr>
        <w:t> </w:t>
      </w:r>
      <w:r>
        <w:rPr/>
        <w:t>1875 «О мерах по</w:t>
      </w:r>
      <w:r>
        <w:rPr>
          <w:lang w:val="en-US"/>
        </w:rPr>
        <w:t> </w:t>
      </w:r>
      <w:r>
        <w:rPr/>
        <w:t>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30"/>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30"/>
        <w:ind w:firstLine="567"/>
        <w:rPr/>
      </w:pPr>
      <w:r>
        <w:rPr>
          <w:b/>
          <w:bCs/>
        </w:rPr>
        <w:t>Система ЭДО</w:t>
      </w:r>
      <w:r>
        <w:rPr>
          <w:rStyle w:val="FootnoteReference"/>
          <w:b/>
          <w:bCs/>
        </w:rPr>
        <w:footnoteReference w:id="2"/>
      </w:r>
      <w:r>
        <w:rPr/>
        <w:t xml:space="preserve"> – 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p>
    <w:p>
      <w:pPr>
        <w:pStyle w:val="Style30"/>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30"/>
        <w:ind w:firstLine="567"/>
        <w:rPr/>
      </w:pPr>
      <w:r>
        <w:rPr>
          <w:b/>
          <w:bCs/>
        </w:rPr>
        <w:t>Субъект МСП</w:t>
      </w:r>
      <w:r>
        <w:rPr/>
        <w:t xml:space="preserve"> – субъект малого и среднего предпринимательства.</w:t>
      </w:r>
    </w:p>
    <w:p>
      <w:pPr>
        <w:pStyle w:val="Style30"/>
        <w:ind w:firstLine="567"/>
        <w:rPr/>
      </w:pPr>
      <w:r>
        <w:rPr>
          <w:b/>
          <w:bCs/>
        </w:rPr>
        <w:t>ЭП</w:t>
      </w:r>
      <w:r>
        <w:rPr/>
        <w:t xml:space="preserve"> – электронная площадка.</w:t>
      </w:r>
    </w:p>
    <w:p>
      <w:pPr>
        <w:pStyle w:val="Style29"/>
        <w:numPr>
          <w:ilvl w:val="0"/>
          <w:numId w:val="0"/>
        </w:numPr>
        <w:ind w:left="0" w:hanging="0"/>
        <w:outlineLvl w:val="0"/>
        <w:rPr/>
      </w:pPr>
      <w:bookmarkStart w:id="1" w:name="_Toc228975992"/>
      <w:r>
        <w:rPr/>
        <w:t>Термины и определения</w:t>
      </w:r>
      <w:bookmarkEnd w:id="1"/>
    </w:p>
    <w:p>
      <w:pPr>
        <w:pStyle w:val="Style30"/>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30"/>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30"/>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30"/>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30"/>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30"/>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30"/>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30"/>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30"/>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30"/>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Pr>
          <w:lang w:val="en-US"/>
        </w:rPr>
        <w:t> </w:t>
      </w:r>
      <w:r>
        <w:rPr/>
        <w:t>конкурентных закупок – в Извещении и</w:t>
      </w:r>
      <w:r>
        <w:rPr>
          <w:lang w:val="en-US"/>
        </w:rPr>
        <w:t> </w:t>
      </w:r>
      <w:r>
        <w:rPr/>
        <w:t>(или) Документацией о закупке.</w:t>
      </w:r>
    </w:p>
    <w:p>
      <w:pPr>
        <w:pStyle w:val="Style30"/>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30"/>
        <w:ind w:firstLine="567"/>
        <w:rPr>
          <w:szCs w:val="26"/>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30"/>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30"/>
        <w:ind w:firstLine="567"/>
        <w:rPr/>
      </w:pPr>
      <w:r>
        <w:rPr>
          <w:b/>
          <w:bCs/>
        </w:rPr>
        <w:t>Коллективный участник</w:t>
      </w:r>
      <w:r>
        <w:rPr/>
        <w:t xml:space="preserve"> – объединение юридических и (или) физических лиц,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pPr>
        <w:pStyle w:val="Style30"/>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30"/>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30"/>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30"/>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30"/>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30"/>
        <w:ind w:firstLine="567"/>
        <w:rPr/>
      </w:pPr>
      <w:r>
        <w:rPr>
          <w:b/>
          <w:bCs/>
        </w:rPr>
        <w:t>Официальное размещение</w:t>
      </w:r>
      <w:r>
        <w:rPr/>
        <w:t xml:space="preserve"> – размещение информации о закупке в ЕИС, на</w:t>
      </w:r>
      <w:r>
        <w:rPr>
          <w:lang w:val="en-US"/>
        </w:rPr>
        <w:t> </w:t>
      </w:r>
      <w:r>
        <w:rPr/>
        <w:t>Официальном сайте (с размещением копий на ЭП).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30"/>
        <w:ind w:firstLine="567"/>
        <w:rPr>
          <w:szCs w:val="26"/>
        </w:rPr>
      </w:pPr>
      <w:r>
        <w:rPr>
          <w:b/>
          <w:bCs/>
          <w:szCs w:val="26"/>
        </w:rPr>
        <w:t>Победитель</w:t>
      </w:r>
      <w:r>
        <w:rPr>
          <w:szCs w:val="26"/>
        </w:rPr>
        <w:t xml:space="preserve"> – Участник, заявка которого соответствует требованиям Документации о закупке и который предложил наиболее низкую стоимость заявки (цену Договора)</w:t>
      </w:r>
      <w:r>
        <w:rPr>
          <w:rStyle w:val="FootnoteReference"/>
          <w:szCs w:val="26"/>
        </w:rPr>
        <w:footnoteReference w:id="3"/>
      </w:r>
      <w:r>
        <w:rPr>
          <w:szCs w:val="26"/>
        </w:rPr>
        <w:t>.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30"/>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30"/>
        <w:ind w:firstLine="567"/>
        <w:rPr/>
      </w:pPr>
      <w:r>
        <w:rPr>
          <w:b/>
          <w:bCs/>
        </w:rPr>
        <w:t>Постквалификация</w:t>
      </w:r>
      <w:r>
        <w:rPr/>
        <w:t xml:space="preserve"> – процедура дополнительной проверки Участника перед выбором его Победителем на подтверждения его соответствия квалификационным требованиям, установленным в Документации о закупке.</w:t>
      </w:r>
    </w:p>
    <w:p>
      <w:pPr>
        <w:pStyle w:val="Style30"/>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30"/>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равных условий с</w:t>
      </w:r>
      <w:r>
        <w:rPr>
          <w:lang w:val="en-US"/>
        </w:rPr>
        <w:t> </w:t>
      </w:r>
      <w:r>
        <w:rPr/>
        <w:t>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rPr>
          <w:lang w:val="en-US"/>
        </w:rPr>
        <w:t> </w:t>
      </w:r>
      <w:r>
        <w:rPr/>
        <w:t>соответствии с нормами, установленными законодательством.</w:t>
      </w:r>
    </w:p>
    <w:p>
      <w:pPr>
        <w:pStyle w:val="Style30"/>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30"/>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30"/>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30"/>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4"/>
      </w:r>
      <w:r>
        <w:rPr/>
        <w:t>, если иное не установлено в Документации о закупке.</w:t>
      </w:r>
    </w:p>
    <w:p>
      <w:pPr>
        <w:pStyle w:val="Style30"/>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w:t>
      </w:r>
      <w:r>
        <w:rPr>
          <w:rFonts w:eastAsia="Calibri" w:cs="Times New Roman"/>
          <w:shd w:fill="FFFFFF" w:val="clear"/>
        </w:rPr>
        <w:t>в том числе выданной в порядке передоверия,</w:t>
      </w:r>
      <w:r>
        <w:rPr/>
        <w:t xml:space="preserve"> от имени организации, полномочия которых подтверждены соответствующими документами.</w:t>
      </w:r>
    </w:p>
    <w:p>
      <w:pPr>
        <w:pStyle w:val="Style30"/>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4"/>
        <w:rPr/>
      </w:pPr>
      <w:bookmarkStart w:id="2" w:name="_Toc228975993"/>
      <w:bookmarkStart w:id="3" w:name="_Ref125359988"/>
      <w:r>
        <w:rPr/>
        <w:t>Основные сведения о закупке</w:t>
      </w:r>
      <w:bookmarkEnd w:id="2"/>
      <w:bookmarkEnd w:id="3"/>
    </w:p>
    <w:p>
      <w:pPr>
        <w:pStyle w:val="Style25"/>
        <w:rPr/>
      </w:pPr>
      <w:bookmarkStart w:id="4" w:name="_Toc228975994"/>
      <w:r>
        <w:rPr/>
        <w:t>Статус настоящего раздела</w:t>
      </w:r>
      <w:bookmarkEnd w:id="4"/>
    </w:p>
    <w:p>
      <w:pPr>
        <w:pStyle w:val="Style26"/>
        <w:rPr/>
      </w:pPr>
      <w:r>
        <w:rPr/>
        <w:t>В настоящем разделе содержатся основные сведения о предмете, способе и иных ключевых условиях проводимой закупки.</w:t>
      </w:r>
    </w:p>
    <w:p>
      <w:pPr>
        <w:pStyle w:val="Style26"/>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14"/>
          </w:rPr>
          <w:t>Технических требованиях (Приложение № 1)</w:t>
        </w:r>
      </w:hyperlink>
      <w:r>
        <w:rPr>
          <w:rStyle w:val="Style14"/>
        </w:rPr>
        <w:t>,</w:t>
      </w:r>
      <w:r>
        <w:rPr/>
        <w:t xml:space="preserve"> в </w:t>
      </w:r>
      <w:hyperlink w:anchor="Прил02_ПроектДоговора">
        <w:r>
          <w:rPr>
            <w:rStyle w:val="Style14"/>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6"/>
        <w:rPr/>
      </w:pPr>
      <w:bookmarkStart w:id="5" w:name="_Ref136768031"/>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bookmarkEnd w:id="5"/>
    </w:p>
    <w:p>
      <w:pPr>
        <w:pStyle w:val="Style25"/>
        <w:spacing w:before="360" w:after="120"/>
        <w:rPr/>
      </w:pPr>
      <w:bookmarkStart w:id="6" w:name="_Toc228975995"/>
      <w:bookmarkStart w:id="7" w:name="_Ref127270076"/>
      <w:bookmarkStart w:id="8" w:name="_Ref125359973"/>
      <w:r>
        <w:rPr/>
        <w:t>Информация о проводимой закупке</w:t>
      </w:r>
      <w:bookmarkEnd w:id="6"/>
      <w:bookmarkEnd w:id="7"/>
      <w:bookmarkEnd w:id="8"/>
    </w:p>
    <w:tbl>
      <w:tblPr>
        <w:tblStyle w:val="af6"/>
        <w:tblW w:w="9754"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839"/>
        <w:gridCol w:w="3239"/>
        <w:gridCol w:w="5676"/>
      </w:tblGrid>
      <w:tr>
        <w:trPr>
          <w:cnfStyle w:val="100000000000" w:firstRow="1" w:lastRow="0" w:firstColumn="0" w:lastColumn="0" w:oddVBand="0" w:evenVBand="0" w:oddHBand="0" w:evenHBand="0" w:firstRowFirstColumn="0" w:firstRowLastColumn="0" w:lastRowFirstColumn="0" w:lastRowLastColumn="0"/>
        </w:trPr>
        <w:tc>
          <w:tcPr>
            <w:tcW w:w="839"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3239"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пункта</w:t>
            </w:r>
          </w:p>
        </w:tc>
        <w:tc>
          <w:tcPr>
            <w:tcW w:w="5676"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Содержание пункта</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9" w:name="_Ref125360980"/>
            <w:bookmarkStart w:id="10" w:name="_Ref125360980"/>
            <w:bookmarkEnd w:id="10"/>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Способ закупки:</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Аукцион в электронной форме.</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1" w:name="_Ref125360996"/>
            <w:bookmarkStart w:id="12" w:name="_Ref125360996"/>
            <w:bookmarkEnd w:id="12"/>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Предмет Договора</w:t>
              <w:br/>
              <w:t>(в том числе номер лота):</w:t>
            </w:r>
          </w:p>
        </w:tc>
        <w:tc>
          <w:tcPr>
            <w:tcW w:w="5676" w:type="dxa"/>
            <w:tcBorders/>
          </w:tcPr>
          <w:p>
            <w:pPr>
              <w:pStyle w:val="Style30"/>
              <w:widowControl w:val="false"/>
              <w:suppressAutoHyphens w:val="true"/>
              <w:spacing w:before="60" w:after="60"/>
              <w:rPr/>
            </w:pPr>
            <w:r>
              <w:rPr>
                <w:rFonts w:eastAsia="Calibri" w:cs=""/>
                <w:kern w:val="0"/>
                <w:sz w:val="26"/>
                <w:szCs w:val="22"/>
                <w:lang w:val="ru-RU" w:eastAsia="en-US" w:bidi="ar-SA"/>
              </w:rPr>
              <w:t>Лот №</w:t>
            </w:r>
            <w:r>
              <w:rPr>
                <w:rFonts w:eastAsia="Calibri" w:cs="" w:cstheme="minorBidi" w:eastAsiaTheme="minorHAnsi"/>
                <w:kern w:val="0"/>
                <w:sz w:val="26"/>
                <w:szCs w:val="26"/>
                <w:shd w:fill="auto" w:val="clear"/>
                <w:lang w:val="ru-RU" w:eastAsia="en-US" w:bidi="ar-SA"/>
              </w:rPr>
              <w:t xml:space="preserve"> </w:t>
            </w:r>
            <w:r>
              <w:rPr>
                <w:rStyle w:val="Style11"/>
                <w:rFonts w:eastAsia="Calibri" w:cs="" w:cstheme="minorBidi" w:eastAsiaTheme="minorHAnsi"/>
                <w:i w:val="false"/>
                <w:iCs w:val="false"/>
                <w:kern w:val="0"/>
                <w:sz w:val="26"/>
                <w:szCs w:val="26"/>
                <w:shd w:fill="auto" w:val="clear"/>
                <w:lang w:val="ru-RU" w:eastAsia="en-US" w:bidi="ar-SA"/>
              </w:rPr>
              <w:t>12016005-РЕМ ПРОД-2027-ДГК</w:t>
            </w:r>
            <w:r>
              <w:rPr>
                <w:rFonts w:eastAsia="Calibri" w:cs=""/>
                <w:i w:val="false"/>
                <w:iCs w:val="false"/>
                <w:kern w:val="0"/>
                <w:sz w:val="26"/>
                <w:szCs w:val="22"/>
                <w:lang w:val="ru-RU" w:eastAsia="en-US" w:bidi="ar-SA"/>
              </w:rPr>
              <w:t xml:space="preserve">: </w:t>
            </w:r>
          </w:p>
          <w:p>
            <w:pPr>
              <w:pStyle w:val="Style30"/>
              <w:widowControl w:val="false"/>
              <w:suppressAutoHyphens w:val="true"/>
              <w:spacing w:before="60" w:after="60"/>
              <w:rPr/>
            </w:pPr>
            <w:r>
              <w:rPr>
                <w:rFonts w:eastAsia="Calibri" w:cs=""/>
                <w:kern w:val="0"/>
                <w:sz w:val="26"/>
                <w:szCs w:val="26"/>
                <w:lang w:val="ru-RU" w:eastAsia="en-US" w:bidi="ar-SA"/>
              </w:rPr>
              <w:t xml:space="preserve">ОКПД2 28.14.20 </w:t>
            </w:r>
            <w:r>
              <w:rPr>
                <w:rFonts w:eastAsia="Calibri" w:cs=""/>
                <w:b/>
                <w:bCs/>
                <w:kern w:val="0"/>
                <w:sz w:val="26"/>
                <w:szCs w:val="26"/>
                <w:lang w:val="ru-RU" w:eastAsia="en-US" w:bidi="ar-SA"/>
              </w:rPr>
              <w:t>Поставка запасных частей и комплектующих к трубопроводной арматуре для нужд структурных подразделений АО «ДГК»</w:t>
            </w:r>
            <w:r>
              <w:rPr>
                <w:rFonts w:eastAsia="Calibri" w:cs=""/>
                <w:kern w:val="0"/>
                <w:sz w:val="26"/>
                <w:szCs w:val="26"/>
                <w:lang w:val="ru-RU" w:eastAsia="en-US" w:bidi="ar-SA"/>
              </w:rPr>
              <w:t>.</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3" w:name="_Ref135729276"/>
            <w:bookmarkStart w:id="14" w:name="_Ref135729276"/>
            <w:bookmarkEnd w:id="14"/>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Описание</w:t>
              <w:br/>
              <w:t>предмета закупки:</w:t>
            </w:r>
          </w:p>
        </w:tc>
        <w:tc>
          <w:tcPr>
            <w:tcW w:w="5676" w:type="dxa"/>
            <w:tcBorders/>
          </w:tcPr>
          <w:p>
            <w:pPr>
              <w:pStyle w:val="Style30"/>
              <w:widowControl w:val="false"/>
              <w:suppressAutoHyphens w:val="true"/>
              <w:spacing w:before="60" w:after="60"/>
              <w:rPr/>
            </w:pPr>
            <w:r>
              <w:rPr>
                <w:rFonts w:eastAsia="Calibri" w:cs=""/>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14"/>
                  <w:rFonts w:eastAsia="Calibri" w:cs=""/>
                  <w:kern w:val="0"/>
                  <w:sz w:val="26"/>
                  <w:szCs w:val="22"/>
                  <w:lang w:val="ru-RU" w:eastAsia="en-US" w:bidi="ar-SA"/>
                </w:rPr>
                <w:t>Технических требованиях (Приложении № 1)</w:t>
              </w:r>
            </w:hyperlink>
            <w:r>
              <w:rPr>
                <w:rFonts w:eastAsia="Calibri" w:cs=""/>
                <w:kern w:val="0"/>
                <w:sz w:val="26"/>
                <w:szCs w:val="22"/>
                <w:lang w:val="ru-RU" w:eastAsia="en-US" w:bidi="ar-SA"/>
              </w:rPr>
              <w:t>, в части требований, обусловленных законодательством о национальном режиме дополнительно в Структуре НМЦ (в составе Коммерческого предложения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5" w:name="_Ref125367124"/>
            <w:bookmarkStart w:id="16" w:name="_Ref125367124"/>
            <w:bookmarkEnd w:id="16"/>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Многолотовая закупка: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Нет.</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7" w:name="_Ref125360764"/>
            <w:bookmarkStart w:id="18" w:name="_Ref125360764"/>
            <w:bookmarkEnd w:id="18"/>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и адрес ЭП, на которой проводится закупка: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Электронная площадка: </w:t>
            </w:r>
            <w:r>
              <w:rPr>
                <w:rStyle w:val="Hyperlink"/>
                <w:rFonts w:eastAsia="Calibri" w:cs="Arial"/>
                <w:kern w:val="0"/>
                <w:sz w:val="26"/>
                <w:szCs w:val="22"/>
                <w:lang w:val="ru-RU" w:eastAsia="en-US" w:bidi="ar-SA"/>
              </w:rPr>
              <w:t>www.roseltorg.ru</w:t>
            </w:r>
            <w:r>
              <w:rPr>
                <w:rFonts w:eastAsia="Calibri" w:cs="Arial"/>
                <w:kern w:val="0"/>
                <w:sz w:val="26"/>
                <w:szCs w:val="22"/>
                <w:lang w:val="ru-RU" w:eastAsia="en-US" w:bidi="ar-SA"/>
              </w:rPr>
              <w:t>.</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Регламент ЭП, в соответствии с которым проводится закупка, размещен по адресу: </w:t>
            </w:r>
            <w:hyperlink r:id="rId3" w:tgtFrame="https://www.roseltorg.ru/_flysystem/webdav/2026/04/20/reglam_rushydro_20042026.pdf">
              <w:r>
                <w:rPr>
                  <w:rStyle w:val="Hyperlink"/>
                  <w:rFonts w:eastAsia="Calibri" w:cs="Arial"/>
                  <w:kern w:val="0"/>
                  <w:sz w:val="26"/>
                  <w:szCs w:val="22"/>
                  <w:lang w:val="ru-RU" w:eastAsia="en-US" w:bidi="ar-SA"/>
                </w:rPr>
                <w:t>https://www.roseltorg.ru/_flysystem/webdav/2026/04/20/reglam_rushydro_20042026.pdf</w:t>
              </w:r>
            </w:hyperlink>
            <w:r>
              <w:rPr>
                <w:rStyle w:val="Hyperlink"/>
                <w:rFonts w:eastAsia="Calibri" w:cs="Arial"/>
                <w:kern w:val="0"/>
                <w:sz w:val="26"/>
                <w:szCs w:val="22"/>
                <w:lang w:val="ru-RU" w:eastAsia="en-US" w:bidi="ar-SA"/>
              </w:rPr>
              <w:t>.</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9" w:name="_Ref125360970"/>
            <w:bookmarkStart w:id="20" w:name="_Ref125360970"/>
            <w:bookmarkEnd w:id="20"/>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Участники:</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Участвовать в закупке могут любые лица, заинтересованные в предмете закупки.</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1" w:name="_Ref125360988"/>
            <w:bookmarkStart w:id="22" w:name="_Ref125360988"/>
            <w:bookmarkEnd w:id="22"/>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Заказчик:</w:t>
            </w:r>
          </w:p>
        </w:tc>
        <w:tc>
          <w:tcPr>
            <w:tcW w:w="5676" w:type="dxa"/>
            <w:tcBorders/>
          </w:tcPr>
          <w:p>
            <w:pPr>
              <w:pStyle w:val="Tableheader"/>
              <w:widowControl w:val="false"/>
              <w:suppressAutoHyphens w:val="true"/>
              <w:spacing w:before="0" w:after="0"/>
              <w:rPr>
                <w:b w:val="false"/>
                <w:sz w:val="26"/>
                <w:szCs w:val="26"/>
              </w:rPr>
            </w:pPr>
            <w:r>
              <w:rPr>
                <w:b w:val="false"/>
                <w:kern w:val="0"/>
                <w:sz w:val="26"/>
                <w:szCs w:val="26"/>
              </w:rPr>
              <w:t xml:space="preserve">Наименование (полное и сокращенное): </w:t>
            </w:r>
          </w:p>
          <w:p>
            <w:pPr>
              <w:pStyle w:val="Tableheader"/>
              <w:widowControl w:val="false"/>
              <w:suppressAutoHyphens w:val="true"/>
              <w:spacing w:before="0" w:after="0"/>
              <w:rPr>
                <w:b w:val="false"/>
                <w:sz w:val="26"/>
                <w:szCs w:val="26"/>
              </w:rPr>
            </w:pPr>
            <w:r>
              <w:rPr>
                <w:b w:val="false"/>
                <w:kern w:val="0"/>
                <w:sz w:val="26"/>
                <w:szCs w:val="26"/>
              </w:rPr>
              <w:t>Акционерное общество «Дальневосточная генерирующая компания» (АО «ДГК»)</w:t>
            </w:r>
          </w:p>
          <w:p>
            <w:pPr>
              <w:pStyle w:val="Tableheader"/>
              <w:widowControl w:val="false"/>
              <w:suppressAutoHyphens w:val="true"/>
              <w:spacing w:before="0" w:after="0"/>
              <w:rPr>
                <w:b w:val="false"/>
                <w:bCs w:val="false"/>
                <w:sz w:val="26"/>
                <w:szCs w:val="26"/>
              </w:rPr>
            </w:pPr>
            <w:r>
              <w:rPr>
                <w:b w:val="false"/>
                <w:kern w:val="0"/>
                <w:sz w:val="26"/>
                <w:szCs w:val="26"/>
              </w:rPr>
              <w:t xml:space="preserve">Место нахождения: 680000, г. Хабаровск, </w:t>
            </w:r>
          </w:p>
          <w:p>
            <w:pPr>
              <w:pStyle w:val="Tableheader"/>
              <w:widowControl w:val="false"/>
              <w:suppressAutoHyphens w:val="true"/>
              <w:spacing w:before="0" w:after="0"/>
              <w:rPr>
                <w:b w:val="false"/>
                <w:bCs w:val="false"/>
                <w:sz w:val="26"/>
                <w:szCs w:val="26"/>
              </w:rPr>
            </w:pPr>
            <w:r>
              <w:rPr>
                <w:b w:val="false"/>
                <w:kern w:val="0"/>
                <w:sz w:val="26"/>
                <w:szCs w:val="26"/>
              </w:rPr>
              <w:t>ул. Фрунзе, д. 49</w:t>
            </w:r>
          </w:p>
          <w:p>
            <w:pPr>
              <w:pStyle w:val="Tableheader"/>
              <w:widowControl w:val="false"/>
              <w:suppressAutoHyphens w:val="true"/>
              <w:spacing w:before="0" w:after="0"/>
              <w:rPr>
                <w:b w:val="false"/>
                <w:bCs w:val="false"/>
                <w:sz w:val="26"/>
                <w:szCs w:val="26"/>
              </w:rPr>
            </w:pPr>
            <w:r>
              <w:rPr>
                <w:b w:val="false"/>
                <w:kern w:val="0"/>
                <w:sz w:val="26"/>
                <w:szCs w:val="26"/>
              </w:rPr>
              <w:t xml:space="preserve">Почтовый адрес: 680000, г. Хабаровск, </w:t>
            </w:r>
          </w:p>
          <w:p>
            <w:pPr>
              <w:pStyle w:val="Tableheader"/>
              <w:widowControl w:val="false"/>
              <w:suppressAutoHyphens w:val="true"/>
              <w:spacing w:before="0" w:after="0"/>
              <w:rPr>
                <w:b w:val="false"/>
                <w:bCs w:val="false"/>
                <w:sz w:val="26"/>
                <w:szCs w:val="26"/>
              </w:rPr>
            </w:pPr>
            <w:r>
              <w:rPr>
                <w:b w:val="false"/>
                <w:kern w:val="0"/>
                <w:sz w:val="26"/>
                <w:szCs w:val="26"/>
              </w:rPr>
              <w:t>ул. Фрунзе, д. 49</w:t>
            </w:r>
          </w:p>
          <w:p>
            <w:pPr>
              <w:pStyle w:val="Tableheader"/>
              <w:widowControl w:val="false"/>
              <w:suppressAutoHyphens w:val="true"/>
              <w:spacing w:before="0" w:after="0"/>
              <w:rPr>
                <w:b w:val="false"/>
                <w:sz w:val="26"/>
                <w:szCs w:val="26"/>
              </w:rPr>
            </w:pPr>
            <w:r>
              <w:rPr>
                <w:b w:val="false"/>
                <w:kern w:val="0"/>
                <w:sz w:val="26"/>
                <w:szCs w:val="26"/>
              </w:rPr>
              <w:t xml:space="preserve">Адрес электронной почты: </w:t>
            </w:r>
            <w:hyperlink r:id="rId4" w:tgtFrame="mailto:dgk@dgk.ru">
              <w:r>
                <w:rPr>
                  <w:rStyle w:val="Hyperlink"/>
                  <w:b w:val="false"/>
                  <w:kern w:val="0"/>
                  <w:sz w:val="26"/>
                  <w:szCs w:val="26"/>
                </w:rPr>
                <w:t>dgk@dgk.ru</w:t>
              </w:r>
            </w:hyperlink>
          </w:p>
          <w:p>
            <w:pPr>
              <w:pStyle w:val="Normal"/>
              <w:widowControl w:val="false"/>
              <w:tabs>
                <w:tab w:val="clear" w:pos="708"/>
                <w:tab w:val="left" w:pos="426" w:leader="none"/>
              </w:tabs>
              <w:spacing w:lineRule="auto" w:line="240" w:before="0" w:after="60"/>
              <w:jc w:val="left"/>
              <w:rPr>
                <w:rFonts w:ascii="Times New Roman" w:hAnsi="Times New Roman" w:eastAsia="Calibri" w:cs="Arial"/>
                <w:kern w:val="0"/>
                <w:sz w:val="26"/>
                <w:szCs w:val="22"/>
                <w:lang w:val="ru-RU" w:eastAsia="en-US" w:bidi="ar-SA"/>
              </w:rPr>
            </w:pPr>
            <w:r>
              <w:rPr>
                <w:rStyle w:val="Style11"/>
                <w:rFonts w:eastAsia="Calibri" w:cs="Arial"/>
                <w:kern w:val="0"/>
                <w:sz w:val="26"/>
                <w:szCs w:val="22"/>
                <w:shd w:fill="auto" w:val="clear"/>
                <w:lang w:val="ru-RU" w:eastAsia="en-US" w:bidi="ar-SA"/>
              </w:rPr>
              <w:t>Контактный телефон: (4212) 26-49-74</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3" w:name="_Ref125360954"/>
            <w:bookmarkStart w:id="24" w:name="_Ref125360954"/>
            <w:bookmarkEnd w:id="24"/>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w:t>
            </w:r>
          </w:p>
        </w:tc>
        <w:tc>
          <w:tcPr>
            <w:tcW w:w="5676" w:type="dxa"/>
            <w:tcBorders/>
          </w:tcPr>
          <w:p>
            <w:pPr>
              <w:pStyle w:val="Tableheader"/>
              <w:widowControl w:val="false"/>
              <w:suppressAutoHyphens w:val="true"/>
              <w:spacing w:before="0" w:after="0"/>
              <w:rPr>
                <w:b w:val="false"/>
                <w:sz w:val="26"/>
                <w:szCs w:val="26"/>
              </w:rPr>
            </w:pPr>
            <w:r>
              <w:rPr>
                <w:b w:val="false"/>
                <w:kern w:val="0"/>
                <w:sz w:val="26"/>
                <w:szCs w:val="26"/>
              </w:rPr>
              <w:t xml:space="preserve">Наименование (полное и сокращенное): </w:t>
            </w:r>
          </w:p>
          <w:p>
            <w:pPr>
              <w:pStyle w:val="Tableheader"/>
              <w:widowControl w:val="false"/>
              <w:suppressAutoHyphens w:val="true"/>
              <w:spacing w:before="0" w:after="0"/>
              <w:rPr>
                <w:b w:val="false"/>
                <w:sz w:val="26"/>
                <w:szCs w:val="26"/>
              </w:rPr>
            </w:pPr>
            <w:r>
              <w:rPr>
                <w:b w:val="false"/>
                <w:kern w:val="0"/>
                <w:sz w:val="26"/>
                <w:szCs w:val="26"/>
              </w:rPr>
              <w:t>Акционерное общество «Дальневосточная генерирующая компания» (АО «ДГК»)</w:t>
            </w:r>
          </w:p>
          <w:p>
            <w:pPr>
              <w:pStyle w:val="Tableheader"/>
              <w:widowControl w:val="false"/>
              <w:suppressAutoHyphens w:val="true"/>
              <w:spacing w:before="0" w:after="0"/>
              <w:rPr>
                <w:b w:val="false"/>
                <w:sz w:val="26"/>
                <w:szCs w:val="26"/>
              </w:rPr>
            </w:pPr>
            <w:r>
              <w:rPr>
                <w:b w:val="false"/>
                <w:kern w:val="0"/>
                <w:sz w:val="26"/>
                <w:szCs w:val="26"/>
              </w:rPr>
              <w:t xml:space="preserve">Место нахождения: </w:t>
            </w:r>
          </w:p>
          <w:p>
            <w:pPr>
              <w:pStyle w:val="Tableheader"/>
              <w:widowControl w:val="false"/>
              <w:suppressAutoHyphens w:val="true"/>
              <w:spacing w:before="0" w:after="0"/>
              <w:rPr>
                <w:b w:val="false"/>
                <w:sz w:val="26"/>
                <w:szCs w:val="26"/>
              </w:rPr>
            </w:pPr>
            <w:r>
              <w:rPr>
                <w:b w:val="false"/>
                <w:kern w:val="0"/>
                <w:sz w:val="26"/>
                <w:szCs w:val="26"/>
              </w:rPr>
              <w:t>680000, г. Хабаровск, ул. Фрунзе, д. 49</w:t>
            </w:r>
          </w:p>
          <w:p>
            <w:pPr>
              <w:pStyle w:val="Tableheader"/>
              <w:widowControl w:val="false"/>
              <w:suppressAutoHyphens w:val="true"/>
              <w:spacing w:before="0" w:after="0"/>
              <w:rPr>
                <w:b w:val="false"/>
                <w:bCs w:val="false"/>
                <w:sz w:val="26"/>
                <w:szCs w:val="26"/>
              </w:rPr>
            </w:pPr>
            <w:r>
              <w:rPr>
                <w:b w:val="false"/>
                <w:kern w:val="0"/>
                <w:sz w:val="26"/>
                <w:szCs w:val="26"/>
              </w:rPr>
              <w:t xml:space="preserve">Почтовый адрес: 680000, г. Хабаровск, </w:t>
            </w:r>
          </w:p>
          <w:p>
            <w:pPr>
              <w:pStyle w:val="Tableheader"/>
              <w:widowControl w:val="false"/>
              <w:suppressAutoHyphens w:val="true"/>
              <w:spacing w:before="0" w:after="0"/>
              <w:rPr>
                <w:b w:val="false"/>
                <w:bCs w:val="false"/>
                <w:sz w:val="26"/>
                <w:szCs w:val="26"/>
              </w:rPr>
            </w:pPr>
            <w:r>
              <w:rPr>
                <w:b w:val="false"/>
                <w:kern w:val="0"/>
                <w:sz w:val="26"/>
                <w:szCs w:val="26"/>
              </w:rPr>
              <w:t>ул. Фрунзе, д. 49</w:t>
            </w:r>
          </w:p>
          <w:p>
            <w:pPr>
              <w:pStyle w:val="Tableheader"/>
              <w:widowControl w:val="false"/>
              <w:suppressAutoHyphens w:val="true"/>
              <w:spacing w:before="0" w:after="0"/>
              <w:rPr>
                <w:b w:val="false"/>
                <w:bCs w:val="false"/>
                <w:sz w:val="26"/>
                <w:szCs w:val="26"/>
              </w:rPr>
            </w:pPr>
            <w:r>
              <w:rPr>
                <w:b w:val="false"/>
                <w:kern w:val="0"/>
                <w:sz w:val="26"/>
                <w:szCs w:val="26"/>
              </w:rPr>
              <w:t xml:space="preserve">Адрес электронной почты: </w:t>
            </w:r>
          </w:p>
          <w:p>
            <w:pPr>
              <w:pStyle w:val="Tableheader"/>
              <w:widowControl w:val="false"/>
              <w:suppressAutoHyphens w:val="true"/>
              <w:spacing w:before="0" w:after="0"/>
              <w:rPr>
                <w:rStyle w:val="Hyperlink"/>
                <w:b w:val="false"/>
                <w:bCs w:val="false"/>
                <w:sz w:val="26"/>
                <w:szCs w:val="26"/>
                <w:highlight w:val="none"/>
              </w:rPr>
            </w:pPr>
            <w:hyperlink r:id="rId5" w:tgtFrame="http://banschikova-iv@dgk.ru">
              <w:r>
                <w:rPr>
                  <w:rStyle w:val="Hyperlink"/>
                  <w:b w:val="false"/>
                  <w:kern w:val="0"/>
                  <w:sz w:val="26"/>
                  <w:szCs w:val="26"/>
                </w:rPr>
                <w:t>banschikova-iv@dgk.ru</w:t>
              </w:r>
            </w:hyperlink>
          </w:p>
          <w:p>
            <w:pPr>
              <w:pStyle w:val="Tableheader"/>
              <w:widowControl w:val="false"/>
              <w:suppressAutoHyphens w:val="true"/>
              <w:spacing w:before="0" w:after="0"/>
              <w:rPr>
                <w:kern w:val="0"/>
              </w:rPr>
            </w:pPr>
            <w:r>
              <w:rPr>
                <w:rStyle w:val="Style11"/>
                <w:b w:val="false"/>
                <w:kern w:val="0"/>
                <w:sz w:val="26"/>
                <w:szCs w:val="26"/>
                <w:shd w:fill="auto" w:val="clear"/>
              </w:rPr>
              <w:t>Контактный телефон: (4212) 26-42-87</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5" w:name="_Ref125361238"/>
            <w:bookmarkStart w:id="26" w:name="_Ref125361238"/>
            <w:bookmarkEnd w:id="26"/>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Представитель Организатора:</w:t>
            </w:r>
          </w:p>
        </w:tc>
        <w:tc>
          <w:tcPr>
            <w:tcW w:w="5676" w:type="dxa"/>
            <w:tcBorders/>
          </w:tcPr>
          <w:p>
            <w:pPr>
              <w:pStyle w:val="Tableheader"/>
              <w:widowControl w:val="false"/>
              <w:suppressAutoHyphens w:val="true"/>
              <w:spacing w:before="0" w:after="0"/>
              <w:rPr>
                <w:b w:val="false"/>
                <w:bCs w:val="false"/>
                <w:sz w:val="26"/>
                <w:szCs w:val="26"/>
              </w:rPr>
            </w:pPr>
            <w:r>
              <w:rPr>
                <w:b w:val="false"/>
                <w:kern w:val="0"/>
                <w:sz w:val="26"/>
                <w:szCs w:val="26"/>
              </w:rPr>
              <w:t xml:space="preserve">Контактное лицо (ФИО): </w:t>
            </w:r>
          </w:p>
          <w:p>
            <w:pPr>
              <w:pStyle w:val="Tableheader"/>
              <w:widowControl w:val="false"/>
              <w:suppressAutoHyphens w:val="true"/>
              <w:spacing w:before="0" w:after="0"/>
              <w:rPr>
                <w:b w:val="false"/>
                <w:bCs w:val="false"/>
                <w:sz w:val="26"/>
                <w:szCs w:val="26"/>
              </w:rPr>
            </w:pPr>
            <w:r>
              <w:rPr>
                <w:b w:val="false"/>
                <w:kern w:val="0"/>
                <w:sz w:val="26"/>
                <w:szCs w:val="26"/>
              </w:rPr>
              <w:t>Банщикова Ирина Владимировна</w:t>
            </w:r>
          </w:p>
          <w:p>
            <w:pPr>
              <w:pStyle w:val="Tableheader"/>
              <w:widowControl w:val="false"/>
              <w:suppressAutoHyphens w:val="true"/>
              <w:spacing w:before="0" w:after="0"/>
              <w:rPr>
                <w:b w:val="false"/>
                <w:sz w:val="26"/>
                <w:szCs w:val="26"/>
              </w:rPr>
            </w:pPr>
            <w:r>
              <w:rPr>
                <w:b w:val="false"/>
                <w:kern w:val="0"/>
                <w:sz w:val="26"/>
                <w:szCs w:val="26"/>
              </w:rPr>
              <w:t>Контактный телефон: (4212) 26-42-87</w:t>
            </w:r>
          </w:p>
          <w:p>
            <w:pPr>
              <w:pStyle w:val="Tableheader"/>
              <w:widowControl w:val="false"/>
              <w:suppressAutoHyphens w:val="true"/>
              <w:spacing w:before="0" w:after="0"/>
              <w:rPr>
                <w:b w:val="false"/>
                <w:bCs w:val="false"/>
                <w:sz w:val="26"/>
                <w:szCs w:val="26"/>
                <w:shd w:fill="auto" w:val="clear"/>
              </w:rPr>
            </w:pPr>
            <w:r>
              <w:rPr>
                <w:b w:val="false"/>
                <w:kern w:val="0"/>
                <w:sz w:val="26"/>
                <w:szCs w:val="26"/>
              </w:rPr>
              <w:t xml:space="preserve">Адрес электронной почты: </w:t>
            </w:r>
          </w:p>
          <w:p>
            <w:pPr>
              <w:pStyle w:val="Tableheader"/>
              <w:widowControl w:val="false"/>
              <w:suppressAutoHyphens w:val="true"/>
              <w:spacing w:before="0" w:after="0"/>
              <w:rPr>
                <w:b w:val="false"/>
                <w:bCs w:val="false"/>
                <w:sz w:val="26"/>
                <w:szCs w:val="26"/>
                <w:highlight w:val="none"/>
              </w:rPr>
            </w:pPr>
            <w:hyperlink r:id="rId6" w:tgtFrame="http://banschikova-iv@dgk.ru">
              <w:r>
                <w:rPr>
                  <w:rStyle w:val="Hyperlink"/>
                  <w:b w:val="false"/>
                  <w:kern w:val="0"/>
                  <w:sz w:val="26"/>
                  <w:szCs w:val="26"/>
                </w:rPr>
                <w:t>banschikova-iv@dgk.ru</w:t>
              </w:r>
            </w:hyperlink>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7" w:name="_Ref125362694"/>
            <w:bookmarkStart w:id="28" w:name="_Ref125362694"/>
            <w:bookmarkEnd w:id="28"/>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официально размещена в ЕИС и доступна на Официальном сайте для ознакомления любым заинтересованным лицам. Официальным источником информации о ходе проведения закупки является Официальный сайт (zakupki.gov.ru).</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 w:name="_Ref125360963"/>
            <w:bookmarkStart w:id="30" w:name="_Ref125360963"/>
            <w:bookmarkEnd w:id="30"/>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размещения Извещения о проведении закупки:</w:t>
            </w:r>
          </w:p>
        </w:tc>
        <w:tc>
          <w:tcPr>
            <w:tcW w:w="5676" w:type="dxa"/>
            <w:tcBorders/>
          </w:tcPr>
          <w:p>
            <w:pPr>
              <w:pStyle w:val="Style30"/>
              <w:widowControl w:val="false"/>
              <w:suppressAutoHyphens w:val="true"/>
              <w:spacing w:before="60" w:after="60"/>
              <w:rPr>
                <w:b/>
                <w:bCs/>
              </w:rPr>
            </w:pPr>
            <w:r>
              <w:rPr>
                <w:rFonts w:eastAsia="Calibri" w:cs=""/>
                <w:b/>
                <w:bCs/>
                <w:kern w:val="0"/>
                <w:sz w:val="26"/>
                <w:szCs w:val="22"/>
                <w:lang w:val="ru-RU" w:eastAsia="en-US" w:bidi="ar-SA"/>
              </w:rPr>
              <w:t>«20» августа 2026г.</w:t>
            </w:r>
          </w:p>
          <w:p>
            <w:pPr>
              <w:pStyle w:val="Style30"/>
              <w:widowControl w:val="false"/>
              <w:suppressAutoHyphens w:val="true"/>
              <w:spacing w:before="60" w:after="60"/>
              <w:rPr>
                <w:rStyle w:val="Style11"/>
              </w:rPr>
            </w:pPr>
            <w:r>
              <w:rPr/>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1" w:name="_Ref125362837"/>
            <w:bookmarkStart w:id="32" w:name="_Ref125362837"/>
            <w:bookmarkEnd w:id="32"/>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Начальная (максимальная) цена договора (цена лота):</w:t>
            </w:r>
          </w:p>
        </w:tc>
        <w:tc>
          <w:tcPr>
            <w:tcW w:w="5676" w:type="dxa"/>
            <w:tcBorders/>
          </w:tcPr>
          <w:p>
            <w:pPr>
              <w:pStyle w:val="Style30"/>
              <w:widowControl w:val="false"/>
              <w:suppressAutoHyphens w:val="true"/>
              <w:spacing w:before="60" w:after="60"/>
              <w:jc w:val="left"/>
              <w:rPr/>
            </w:pPr>
            <w:r>
              <w:rPr>
                <w:rFonts w:eastAsia="Calibri" w:cs=""/>
                <w:kern w:val="0"/>
                <w:sz w:val="26"/>
                <w:szCs w:val="22"/>
                <w:lang w:val="ru-RU" w:eastAsia="en-US" w:bidi="ar-SA"/>
              </w:rPr>
              <w:t xml:space="preserve">НМЦ составляет </w:t>
            </w:r>
            <w:r>
              <w:rPr>
                <w:rFonts w:eastAsia="Calibri" w:cs=""/>
                <w:b/>
                <w:bCs/>
                <w:kern w:val="0"/>
                <w:sz w:val="26"/>
                <w:szCs w:val="22"/>
                <w:lang w:val="ru-RU" w:eastAsia="en-US" w:bidi="ar-SA"/>
              </w:rPr>
              <w:t>34 235 021,00</w:t>
            </w:r>
            <w:r>
              <w:rPr>
                <w:rFonts w:eastAsia="Calibri" w:cs=""/>
                <w:kern w:val="0"/>
                <w:sz w:val="26"/>
                <w:szCs w:val="22"/>
                <w:lang w:val="ru-RU" w:eastAsia="en-US" w:bidi="ar-SA"/>
              </w:rPr>
              <w:t> руб., без учета НДС.</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0"/>
              <w:widowControl w:val="false"/>
              <w:suppressAutoHyphens w:val="true"/>
              <w:spacing w:before="60" w:after="60"/>
              <w:jc w:val="left"/>
              <w:rPr/>
            </w:pPr>
            <w:r>
              <w:rPr>
                <w:rFonts w:eastAsia="Calibri" w:cs=""/>
                <w:kern w:val="0"/>
                <w:sz w:val="26"/>
                <w:szCs w:val="22"/>
                <w:lang w:val="ru-RU" w:eastAsia="en-US" w:bidi="ar-SA"/>
              </w:rPr>
              <w:t xml:space="preserve">Обоснование НМЦ представлено в </w:t>
            </w:r>
            <w:hyperlink w:anchor="Прил09_ОбоснованиеНМЦ">
              <w:r>
                <w:rPr>
                  <w:rStyle w:val="Style14"/>
                  <w:rFonts w:eastAsia="Calibri" w:cs=""/>
                  <w:kern w:val="0"/>
                  <w:sz w:val="26"/>
                  <w:szCs w:val="22"/>
                  <w:lang w:val="ru-RU" w:eastAsia="en-US" w:bidi="ar-SA"/>
                </w:rPr>
                <w:t>Приложении № 9</w:t>
              </w:r>
            </w:hyperlink>
            <w:r>
              <w:rPr>
                <w:rFonts w:eastAsia="Calibri" w:cs=""/>
                <w:kern w:val="0"/>
                <w:sz w:val="26"/>
                <w:szCs w:val="22"/>
                <w:lang w:val="ru-RU" w:eastAsia="en-US" w:bidi="ar-SA"/>
              </w:rPr>
              <w:t>.</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Шаг аукциона:</w:t>
            </w:r>
          </w:p>
        </w:tc>
        <w:tc>
          <w:tcPr>
            <w:tcW w:w="5676" w:type="dxa"/>
            <w:tcBorders/>
          </w:tcPr>
          <w:p>
            <w:pPr>
              <w:pStyle w:val="Style30"/>
              <w:widowControl w:val="false"/>
              <w:suppressAutoHyphens w:val="true"/>
              <w:spacing w:before="60" w:after="60"/>
              <w:jc w:val="left"/>
              <w:rPr/>
            </w:pPr>
            <w:r>
              <w:rPr>
                <w:rStyle w:val="Style11"/>
                <w:rFonts w:eastAsia="Calibri" w:cs=""/>
                <w:i w:val="false"/>
                <w:iCs w:val="false"/>
                <w:kern w:val="0"/>
                <w:sz w:val="26"/>
                <w:szCs w:val="22"/>
                <w:shd w:fill="auto" w:val="clear"/>
                <w:lang w:val="ru-RU" w:eastAsia="en-US" w:bidi="ar-SA"/>
              </w:rPr>
              <w:t>0,5% – 5,0% от НМЦ, что составляет:</w:t>
            </w:r>
          </w:p>
          <w:p>
            <w:pPr>
              <w:pStyle w:val="Style30"/>
              <w:widowControl w:val="false"/>
              <w:suppressAutoHyphens w:val="true"/>
              <w:spacing w:before="60" w:after="60"/>
              <w:jc w:val="left"/>
              <w:rPr/>
            </w:pPr>
            <w:r>
              <w:rPr>
                <w:rStyle w:val="Style11"/>
                <w:rFonts w:eastAsia="Calibri" w:cs=""/>
                <w:b/>
                <w:bCs/>
                <w:i w:val="false"/>
                <w:iCs w:val="false"/>
                <w:kern w:val="0"/>
                <w:sz w:val="26"/>
                <w:szCs w:val="22"/>
                <w:shd w:fill="auto" w:val="clear"/>
                <w:lang w:val="ru-RU" w:eastAsia="en-US" w:bidi="ar-SA"/>
              </w:rPr>
              <w:t>171 175,1</w:t>
            </w:r>
            <w:r>
              <w:rPr>
                <w:rStyle w:val="Style11"/>
                <w:rFonts w:eastAsia="Calibri" w:cs=""/>
                <w:b/>
                <w:bCs/>
                <w:i w:val="false"/>
                <w:iCs w:val="false"/>
                <w:kern w:val="0"/>
                <w:sz w:val="26"/>
                <w:szCs w:val="22"/>
                <w:shd w:fill="auto" w:val="clear"/>
                <w:lang w:val="ru-RU" w:eastAsia="en-US" w:bidi="ar-SA"/>
              </w:rPr>
              <w:t>0</w:t>
            </w:r>
            <w:r>
              <w:rPr>
                <w:rStyle w:val="Style11"/>
                <w:rFonts w:eastAsia="Calibri" w:cs=""/>
                <w:i w:val="false"/>
                <w:iCs w:val="false"/>
                <w:kern w:val="0"/>
                <w:sz w:val="26"/>
                <w:szCs w:val="22"/>
                <w:shd w:fill="auto" w:val="clear"/>
                <w:lang w:val="ru-RU" w:eastAsia="en-US" w:bidi="ar-SA"/>
              </w:rPr>
              <w:t xml:space="preserve"> руб. – </w:t>
            </w:r>
            <w:r>
              <w:rPr>
                <w:rStyle w:val="Style11"/>
                <w:rFonts w:eastAsia="Calibri" w:cs=""/>
                <w:b/>
                <w:bCs/>
                <w:i w:val="false"/>
                <w:iCs w:val="false"/>
                <w:kern w:val="0"/>
                <w:sz w:val="26"/>
                <w:szCs w:val="22"/>
                <w:shd w:fill="auto" w:val="clear"/>
                <w:lang w:val="ru-RU" w:eastAsia="en-US" w:bidi="ar-SA"/>
              </w:rPr>
              <w:t>1 711 751,05</w:t>
            </w:r>
            <w:r>
              <w:rPr>
                <w:rStyle w:val="Style11"/>
                <w:rFonts w:eastAsia="Calibri" w:cs=""/>
                <w:i w:val="false"/>
                <w:iCs w:val="false"/>
                <w:kern w:val="0"/>
                <w:sz w:val="26"/>
                <w:szCs w:val="22"/>
                <w:shd w:fill="auto" w:val="clear"/>
                <w:lang w:val="ru-RU" w:eastAsia="en-US" w:bidi="ar-SA"/>
              </w:rPr>
              <w:t> руб.</w:t>
            </w:r>
            <w:r>
              <w:rPr>
                <w:rFonts w:eastAsia="Calibri" w:cs=""/>
                <w:kern w:val="0"/>
                <w:sz w:val="26"/>
                <w:szCs w:val="22"/>
                <w:lang w:val="ru-RU" w:eastAsia="en-US" w:bidi="ar-SA"/>
              </w:rPr>
              <w:t>, без учета НДС.</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 w:name="_Ref125363076"/>
            <w:bookmarkStart w:id="34" w:name="_Ref125363076"/>
            <w:bookmarkEnd w:id="34"/>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 заявки на участие в закупке:</w:t>
            </w:r>
          </w:p>
        </w:tc>
        <w:tc>
          <w:tcPr>
            <w:tcW w:w="5676" w:type="dxa"/>
            <w:tcBorders/>
          </w:tcPr>
          <w:p>
            <w:pPr>
              <w:pStyle w:val="Style30"/>
              <w:widowControl w:val="false"/>
              <w:suppressAutoHyphens w:val="true"/>
              <w:spacing w:before="60" w:after="60"/>
              <w:rPr>
                <w:b/>
                <w:bCs/>
              </w:rPr>
            </w:pPr>
            <w:r>
              <w:rPr>
                <w:rFonts w:eastAsia="Calibri" w:cs=""/>
                <w:b/>
                <w:bCs/>
                <w:kern w:val="0"/>
                <w:sz w:val="26"/>
                <w:szCs w:val="22"/>
                <w:lang w:val="ru-RU" w:eastAsia="en-US" w:bidi="ar-SA"/>
              </w:rPr>
              <w:t>Требуется.</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Размер обеспечения заявок: </w:t>
            </w:r>
            <w:r>
              <w:rPr>
                <w:rFonts w:eastAsia="Calibri" w:cs=""/>
                <w:b/>
                <w:bCs/>
                <w:kern w:val="0"/>
                <w:sz w:val="26"/>
                <w:szCs w:val="22"/>
                <w:lang w:val="ru-RU" w:eastAsia="en-US" w:bidi="ar-SA"/>
              </w:rPr>
              <w:t>585 107</w:t>
            </w:r>
            <w:r>
              <w:rPr>
                <w:rFonts w:eastAsia="Calibri" w:cs=""/>
                <w:kern w:val="0"/>
                <w:sz w:val="26"/>
                <w:szCs w:val="22"/>
                <w:lang w:val="ru-RU" w:eastAsia="en-US" w:bidi="ar-SA"/>
              </w:rPr>
              <w:t xml:space="preserve"> (пятьсот восемьдесят пять тысяч сто семь) </w:t>
            </w:r>
            <w:r>
              <w:rPr>
                <w:rFonts w:eastAsia="Calibri" w:cs=""/>
                <w:b/>
                <w:bCs/>
                <w:kern w:val="0"/>
                <w:sz w:val="26"/>
                <w:szCs w:val="22"/>
                <w:lang w:val="ru-RU" w:eastAsia="en-US" w:bidi="ar-SA"/>
              </w:rPr>
              <w:t>рублей 01 копейка</w:t>
            </w:r>
            <w:r>
              <w:rPr>
                <w:rFonts w:eastAsia="Calibri" w:cs=""/>
                <w:kern w:val="0"/>
                <w:sz w:val="26"/>
                <w:szCs w:val="22"/>
                <w:lang w:val="ru-RU" w:eastAsia="en-US" w:bidi="ar-SA"/>
              </w:rPr>
              <w:t>, НДС не облагается.</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Допустимые формы обеспечения заявок:</w:t>
            </w:r>
          </w:p>
          <w:p>
            <w:pPr>
              <w:pStyle w:val="Style30"/>
              <w:widowControl w:val="false"/>
              <w:numPr>
                <w:ilvl w:val="0"/>
                <w:numId w:val="2"/>
              </w:numPr>
              <w:suppressAutoHyphens w:val="true"/>
              <w:spacing w:before="120" w:after="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внесение денежных средств на индивидуальные счет, открытый Участнику Оператором ЭП в соответствии с Регламентом ЭП; с целью своевременного получения Организатором требуемого обеспечения, 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1.2.19</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30"/>
              <w:widowControl w:val="false"/>
              <w:numPr>
                <w:ilvl w:val="0"/>
                <w:numId w:val="2"/>
              </w:numPr>
              <w:suppressAutoHyphens w:val="true"/>
              <w:spacing w:before="120" w:after="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предоставление банковской гарантии (в том числе электронной банковской гарантии, выданной посредством функционала ЭП), составленной с учетом требований подраздела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_Ref130455226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4.17</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30"/>
              <w:widowControl w:val="false"/>
              <w:suppressAutoHyphens w:val="true"/>
              <w:spacing w:before="60" w:after="60"/>
              <w:rPr>
                <w:rStyle w:val="Style11"/>
                <w:i w:val="false"/>
                <w:i w:val="false"/>
                <w:iCs w:val="false"/>
                <w:shd w:fill="auto" w:val="clear"/>
              </w:rPr>
            </w:pPr>
            <w:r>
              <w:rPr>
                <w:rStyle w:val="Style11"/>
                <w:rFonts w:eastAsia="Calibri" w:cs=""/>
                <w:i w:val="false"/>
                <w:iCs w:val="false"/>
                <w:kern w:val="0"/>
                <w:sz w:val="26"/>
                <w:szCs w:val="22"/>
                <w:shd w:fill="auto" w:val="clear"/>
                <w:lang w:val="ru-RU" w:eastAsia="en-US" w:bidi="ar-SA"/>
              </w:rPr>
              <w:t>Выбор формы (способа) обеспечения заявки из числа указанных осуществляется Участником самостоятельно.</w:t>
            </w:r>
          </w:p>
          <w:p>
            <w:pPr>
              <w:pStyle w:val="Style30"/>
              <w:widowControl w:val="false"/>
              <w:suppressAutoHyphens w:val="true"/>
              <w:spacing w:before="60" w:after="60"/>
              <w:rPr>
                <w:rStyle w:val="Style11"/>
              </w:rPr>
            </w:pPr>
            <w:r>
              <w:rPr>
                <w:rStyle w:val="Style11"/>
                <w:rFonts w:eastAsia="Calibri" w:cs=""/>
                <w:i w:val="false"/>
                <w:iCs w:val="false"/>
                <w:kern w:val="0"/>
                <w:sz w:val="26"/>
                <w:szCs w:val="22"/>
                <w:shd w:fill="auto" w:val="clear"/>
                <w:lang w:val="ru-RU" w:eastAsia="en-US" w:bidi="ar-SA"/>
              </w:rPr>
              <w:t>Банковские реквизиты Заказчика (для перечисления Банком-гарантом суммы обеспечения заявок в случае нарушения Участником своих обязательств, связанных с участием в закупке):</w:t>
            </w:r>
          </w:p>
          <w:p>
            <w:pPr>
              <w:pStyle w:val="Style30"/>
              <w:keepNext w:val="true"/>
              <w:widowControl w:val="false"/>
              <w:suppressAutoHyphens w:val="true"/>
              <w:spacing w:before="60" w:after="60"/>
              <w:rPr>
                <w:i/>
                <w:i/>
                <w:iCs/>
              </w:rPr>
            </w:pPr>
            <w:r>
              <w:rPr>
                <w:rFonts w:eastAsia="Calibri" w:cs=""/>
                <w:i/>
                <w:iCs/>
                <w:kern w:val="0"/>
                <w:sz w:val="26"/>
                <w:szCs w:val="22"/>
                <w:lang w:val="ru-RU" w:eastAsia="en-US" w:bidi="ar-SA"/>
              </w:rPr>
              <w:t>Наименование получателя: АО «ДГК»</w:t>
            </w:r>
          </w:p>
          <w:p>
            <w:pPr>
              <w:pStyle w:val="Style30"/>
              <w:widowControl w:val="false"/>
              <w:suppressAutoHyphens w:val="true"/>
              <w:spacing w:before="60" w:after="60"/>
              <w:rPr>
                <w:rFonts w:ascii="Times New Roman" w:hAnsi="Times New Roman" w:eastAsia="Calibri" w:cs=""/>
                <w:i/>
                <w:i/>
                <w:iCs/>
                <w:kern w:val="0"/>
                <w:sz w:val="26"/>
                <w:szCs w:val="22"/>
                <w:lang w:val="ru-RU" w:eastAsia="en-US" w:bidi="ar-SA"/>
              </w:rPr>
            </w:pPr>
            <w:r>
              <w:rPr>
                <w:rFonts w:eastAsia="Calibri" w:cs=""/>
                <w:i/>
                <w:iCs/>
                <w:kern w:val="0"/>
                <w:sz w:val="26"/>
                <w:szCs w:val="22"/>
                <w:lang w:val="ru-RU" w:eastAsia="en-US" w:bidi="ar-SA"/>
              </w:rPr>
              <w:t>ИНН 1434031363 КПП 2721010001</w:t>
            </w:r>
          </w:p>
          <w:p>
            <w:pPr>
              <w:pStyle w:val="Style30"/>
              <w:widowControl w:val="false"/>
              <w:suppressAutoHyphens w:val="true"/>
              <w:spacing w:before="60" w:after="60"/>
              <w:rPr>
                <w:rFonts w:ascii="Times New Roman" w:hAnsi="Times New Roman" w:eastAsia="Calibri" w:cs=""/>
                <w:i/>
                <w:i/>
                <w:iCs/>
                <w:kern w:val="0"/>
                <w:sz w:val="26"/>
                <w:szCs w:val="22"/>
                <w:lang w:val="ru-RU" w:eastAsia="en-US" w:bidi="ar-SA"/>
              </w:rPr>
            </w:pPr>
            <w:r>
              <w:rPr>
                <w:rFonts w:eastAsia="Calibri" w:cs=""/>
                <w:i/>
                <w:iCs/>
                <w:kern w:val="0"/>
                <w:sz w:val="26"/>
                <w:szCs w:val="22"/>
                <w:lang w:val="ru-RU" w:eastAsia="en-US" w:bidi="ar-SA"/>
              </w:rPr>
              <w:t>р/с 407 028 102 700 000 088 18 в Дальневосточный Банк ПАО Сбербанка РФ г. Хабаровск</w:t>
            </w:r>
          </w:p>
          <w:p>
            <w:pPr>
              <w:pStyle w:val="Style30"/>
              <w:widowControl w:val="false"/>
              <w:suppressAutoHyphens w:val="true"/>
              <w:spacing w:before="60" w:after="60"/>
              <w:rPr>
                <w:rFonts w:ascii="Times New Roman" w:hAnsi="Times New Roman" w:eastAsia="Calibri" w:cs=""/>
                <w:i/>
                <w:i/>
                <w:iCs/>
                <w:kern w:val="0"/>
                <w:sz w:val="26"/>
                <w:szCs w:val="22"/>
                <w:lang w:val="ru-RU" w:eastAsia="en-US" w:bidi="ar-SA"/>
              </w:rPr>
            </w:pPr>
            <w:r>
              <w:rPr>
                <w:rFonts w:eastAsia="Calibri" w:cs=""/>
                <w:i/>
                <w:iCs/>
                <w:kern w:val="0"/>
                <w:sz w:val="26"/>
                <w:szCs w:val="22"/>
                <w:lang w:val="ru-RU" w:eastAsia="en-US" w:bidi="ar-SA"/>
              </w:rPr>
              <w:t>к/с 301 018 106 000 000 006 08</w:t>
            </w:r>
          </w:p>
          <w:p>
            <w:pPr>
              <w:pStyle w:val="Style30"/>
              <w:widowControl w:val="false"/>
              <w:suppressAutoHyphens w:val="true"/>
              <w:spacing w:before="60" w:after="60"/>
              <w:rPr>
                <w:rFonts w:ascii="Times New Roman" w:hAnsi="Times New Roman" w:eastAsia="Calibri" w:cs=""/>
                <w:i/>
                <w:i/>
                <w:iCs/>
                <w:kern w:val="0"/>
                <w:sz w:val="26"/>
                <w:szCs w:val="22"/>
                <w:lang w:val="ru-RU" w:eastAsia="en-US" w:bidi="ar-SA"/>
              </w:rPr>
            </w:pPr>
            <w:r>
              <w:rPr>
                <w:rFonts w:eastAsia="Calibri" w:cs=""/>
                <w:i/>
                <w:iCs/>
                <w:kern w:val="0"/>
                <w:sz w:val="26"/>
                <w:szCs w:val="22"/>
                <w:lang w:val="ru-RU" w:eastAsia="en-US" w:bidi="ar-SA"/>
              </w:rPr>
              <w:t>БИК 0408133608</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Внимание!</w:t>
            </w:r>
            <w:r>
              <w:rPr>
                <w:rFonts w:eastAsia="Calibri" w:cs=""/>
                <w:kern w:val="0"/>
                <w:sz w:val="26"/>
                <w:szCs w:val="22"/>
                <w:lang w:val="ru-RU" w:eastAsia="en-US" w:bidi="ar-SA"/>
              </w:rPr>
              <w:t xml:space="preserve"> Для того, чтобы иметь возможность подать заявку на участие в закупке, в соответствии с Регламентом ЭП на индивидуальный счет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5" w:name="_Ref125362995"/>
            <w:bookmarkStart w:id="36" w:name="_Ref125362995"/>
            <w:bookmarkEnd w:id="36"/>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Требования</w:t>
              <w:br/>
              <w:t>к описанию продукции:</w:t>
            </w:r>
          </w:p>
        </w:tc>
        <w:tc>
          <w:tcPr>
            <w:tcW w:w="5676" w:type="dxa"/>
            <w:tcBorders/>
          </w:tcPr>
          <w:p>
            <w:pPr>
              <w:pStyle w:val="Style30"/>
              <w:widowControl w:val="false"/>
              <w:suppressAutoHyphens w:val="true"/>
              <w:spacing w:before="60" w:after="60"/>
              <w:rPr/>
            </w:pPr>
            <w:r>
              <w:rPr>
                <w:rFonts w:eastAsia="Calibri" w:cs=""/>
                <w:kern w:val="0"/>
                <w:sz w:val="26"/>
                <w:szCs w:val="22"/>
                <w:lang w:val="ru-RU" w:eastAsia="en-US" w:bidi="ar-SA"/>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 по установленной форме Технического предложения (форма 4)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Применение законодательства о национальном режиме:</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Национальный режим предоставляется.</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Установлен </w:t>
            </w:r>
            <w:r>
              <w:rPr>
                <w:rFonts w:eastAsia="Calibri" w:cs=""/>
                <w:b/>
                <w:bCs/>
                <w:kern w:val="0"/>
                <w:sz w:val="26"/>
                <w:szCs w:val="22"/>
                <w:lang w:val="ru-RU" w:eastAsia="en-US" w:bidi="ar-SA"/>
              </w:rPr>
              <w:t>режим преимущества</w:t>
            </w:r>
            <w:r>
              <w:rPr>
                <w:rFonts w:eastAsia="Calibri" w:cs=""/>
                <w:kern w:val="0"/>
                <w:sz w:val="26"/>
                <w:szCs w:val="22"/>
                <w:lang w:val="ru-RU" w:eastAsia="en-US" w:bidi="ar-SA"/>
              </w:rPr>
              <w:t xml:space="preserve"> российской продукции (или ее части).</w:t>
            </w:r>
          </w:p>
          <w:p>
            <w:pPr>
              <w:pStyle w:val="Style30"/>
              <w:widowControl w:val="false"/>
              <w:suppressAutoHyphens w:val="true"/>
              <w:spacing w:before="60" w:after="60"/>
              <w:rPr/>
            </w:pPr>
            <w:r>
              <w:rPr>
                <w:rFonts w:eastAsia="Calibri" w:cs=""/>
                <w:kern w:val="0"/>
                <w:sz w:val="26"/>
                <w:szCs w:val="22"/>
                <w:lang w:val="ru-RU" w:eastAsia="en-US" w:bidi="ar-SA"/>
              </w:rPr>
              <w:t>Подробнее в отношении каждой позиции закупаемой продукции указано в Структуре НМЦ (в составе Коммерческого предложения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 w:name="_Ref125533737"/>
            <w:bookmarkStart w:id="38" w:name="_Ref125533737"/>
            <w:bookmarkEnd w:id="38"/>
          </w:p>
        </w:tc>
        <w:tc>
          <w:tcPr>
            <w:tcW w:w="3239" w:type="dxa"/>
            <w:tcBorders/>
          </w:tcPr>
          <w:p>
            <w:pPr>
              <w:pStyle w:val="Normal"/>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подачи альтернативных предложений:</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предусмотрена.</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9" w:name="_Ref125475086"/>
            <w:bookmarkStart w:id="40" w:name="_Ref125475086"/>
            <w:bookmarkEnd w:id="40"/>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и порядок подачи заявок:</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Заявки подаются посредством функционала ЭП, по адресу ЭП, указанному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1" w:name="_Ref125360779"/>
            <w:bookmarkStart w:id="42" w:name="_Ref125360779"/>
            <w:bookmarkEnd w:id="42"/>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дата и время окончания срока подачи заявок:</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подачи заявок:</w:t>
            </w:r>
          </w:p>
          <w:p>
            <w:pPr>
              <w:pStyle w:val="Style30"/>
              <w:widowControl w:val="false"/>
              <w:suppressAutoHyphens w:val="true"/>
              <w:spacing w:before="60" w:after="60"/>
              <w:rPr>
                <w:b/>
                <w:bCs/>
              </w:rPr>
            </w:pPr>
            <w:r>
              <w:rPr>
                <w:rFonts w:eastAsia="Calibri" w:cs=""/>
                <w:b/>
                <w:bCs/>
                <w:kern w:val="0"/>
                <w:sz w:val="26"/>
                <w:szCs w:val="22"/>
                <w:lang w:val="ru-RU" w:eastAsia="en-US" w:bidi="ar-SA"/>
              </w:rPr>
              <w:t>«20» августа 2026 г.</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подачи заявок:</w:t>
            </w:r>
          </w:p>
          <w:p>
            <w:pPr>
              <w:pStyle w:val="Style30"/>
              <w:widowControl w:val="false"/>
              <w:suppressAutoHyphens w:val="true"/>
              <w:spacing w:before="60" w:after="60"/>
              <w:rPr>
                <w:b/>
                <w:bCs/>
              </w:rPr>
            </w:pPr>
            <w:r>
              <w:rPr>
                <w:rFonts w:eastAsia="Calibri" w:cs=""/>
                <w:b/>
                <w:bCs/>
                <w:kern w:val="0"/>
                <w:sz w:val="26"/>
                <w:szCs w:val="22"/>
                <w:lang w:val="ru-RU" w:eastAsia="en-US" w:bidi="ar-SA"/>
              </w:rPr>
              <w:t>«08» сентября 2026 г. в 16 ч. 00 мин.</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 местному времени Организатора).</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Срок предоставления Участникам разъяснений Документации о закупке:</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предоставления разъяснений:</w:t>
            </w:r>
          </w:p>
          <w:p>
            <w:pPr>
              <w:pStyle w:val="Style30"/>
              <w:widowControl w:val="false"/>
              <w:suppressAutoHyphens w:val="true"/>
              <w:spacing w:before="60" w:after="60"/>
              <w:rPr>
                <w:b/>
                <w:bCs/>
              </w:rPr>
            </w:pPr>
            <w:r>
              <w:rPr>
                <w:rFonts w:eastAsia="Calibri" w:cs=""/>
                <w:b/>
                <w:bCs/>
                <w:kern w:val="0"/>
                <w:sz w:val="26"/>
                <w:szCs w:val="22"/>
                <w:lang w:val="ru-RU" w:eastAsia="en-US" w:bidi="ar-SA"/>
              </w:rPr>
              <w:t>«08» сентября 2026 г. в 16 ч. 00 мин.</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 местному времени Организатора).</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1.2.19</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3" w:name="_Ref125476197"/>
            <w:bookmarkStart w:id="44" w:name="_Ref125476197"/>
            <w:bookmarkEnd w:id="44"/>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открытия</w:t>
              <w:br/>
              <w:t>доступа к заявкам:</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5" w:name="_Ref125362733"/>
            <w:bookmarkStart w:id="46" w:name="_Ref125362733"/>
            <w:bookmarkEnd w:id="46"/>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окончания рассмотрения заявок:</w:t>
            </w:r>
          </w:p>
        </w:tc>
        <w:tc>
          <w:tcPr>
            <w:tcW w:w="5676" w:type="dxa"/>
            <w:tcBorders/>
          </w:tcPr>
          <w:p>
            <w:pPr>
              <w:pStyle w:val="Style30"/>
              <w:widowControl w:val="false"/>
              <w:suppressAutoHyphens w:val="true"/>
              <w:spacing w:before="60" w:after="60"/>
              <w:rPr>
                <w:b/>
                <w:bCs/>
              </w:rPr>
            </w:pPr>
            <w:r>
              <w:rPr>
                <w:rFonts w:eastAsia="Calibri" w:cs=""/>
                <w:b/>
                <w:bCs/>
                <w:kern w:val="0"/>
                <w:sz w:val="26"/>
                <w:szCs w:val="22"/>
                <w:lang w:val="ru-RU" w:eastAsia="en-US" w:bidi="ar-SA"/>
              </w:rPr>
              <w:t>«21» сентября 2026 г.</w:t>
            </w:r>
          </w:p>
          <w:p>
            <w:pPr>
              <w:pStyle w:val="Style30"/>
              <w:widowControl w:val="false"/>
              <w:suppressAutoHyphens w:val="true"/>
              <w:spacing w:before="60" w:after="60"/>
              <w:rPr>
                <w:b/>
                <w:bCs/>
              </w:rPr>
            </w:pPr>
            <w:r>
              <w:rPr>
                <w:b/>
                <w:bCs/>
              </w:rPr>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w:t>
              <w:br/>
              <w:t>проведения аукциона:</w:t>
            </w:r>
          </w:p>
        </w:tc>
        <w:tc>
          <w:tcPr>
            <w:tcW w:w="5676" w:type="dxa"/>
            <w:tcBorders/>
          </w:tcPr>
          <w:p>
            <w:pPr>
              <w:pStyle w:val="Style30"/>
              <w:widowControl w:val="false"/>
              <w:suppressAutoHyphens w:val="true"/>
              <w:spacing w:before="60" w:after="60"/>
              <w:rPr>
                <w:b/>
                <w:bCs/>
              </w:rPr>
            </w:pPr>
            <w:r>
              <w:rPr>
                <w:rFonts w:eastAsia="Calibri" w:cs=""/>
                <w:b/>
                <w:bCs/>
                <w:kern w:val="0"/>
                <w:sz w:val="26"/>
                <w:szCs w:val="22"/>
                <w:lang w:val="ru-RU" w:eastAsia="en-US" w:bidi="ar-SA"/>
              </w:rPr>
              <w:t>«23» сентября 2026 г. в 17 ч. 00 мин.</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 местному времени Организатора).</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7" w:name="_Ref125362757"/>
            <w:bookmarkStart w:id="48" w:name="_Ref125362757"/>
            <w:bookmarkEnd w:id="48"/>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подведения</w:t>
              <w:br/>
              <w:t>итогов закупки:</w:t>
            </w:r>
          </w:p>
        </w:tc>
        <w:tc>
          <w:tcPr>
            <w:tcW w:w="5676" w:type="dxa"/>
            <w:tcBorders/>
          </w:tcPr>
          <w:p>
            <w:pPr>
              <w:pStyle w:val="Style30"/>
              <w:widowControl w:val="false"/>
              <w:suppressAutoHyphens w:val="true"/>
              <w:spacing w:before="60" w:after="60"/>
              <w:rPr>
                <w:b/>
                <w:bCs/>
              </w:rPr>
            </w:pPr>
            <w:r>
              <w:rPr>
                <w:rFonts w:eastAsia="Calibri" w:cs=""/>
                <w:b/>
                <w:bCs/>
                <w:kern w:val="0"/>
                <w:sz w:val="26"/>
                <w:szCs w:val="22"/>
                <w:lang w:val="ru-RU" w:eastAsia="en-US" w:bidi="ar-SA"/>
              </w:rPr>
              <w:t>«24» сентября 2026 г.</w:t>
            </w:r>
          </w:p>
          <w:p>
            <w:pPr>
              <w:pStyle w:val="Style30"/>
              <w:widowControl w:val="false"/>
              <w:suppressAutoHyphens w:val="true"/>
              <w:spacing w:before="60" w:after="60"/>
              <w:rPr>
                <w:rStyle w:val="Style11"/>
              </w:rPr>
            </w:pPr>
            <w:r>
              <w:rPr/>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9" w:name="_Ref125361769"/>
            <w:bookmarkStart w:id="50" w:name="_Ref125361769"/>
            <w:bookmarkEnd w:id="50"/>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предусмотрено.</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Порядок подведения</w:t>
              <w:br/>
              <w:t>итогов закупки:</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который предложил наиболее низкую стоимость заявки (цену Договора), а если при проведении аукциона цена была снижена до нуля и далее аукцион проводился на повышение цен – наиболее высокую стоимость заявки (цену Договора).</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1" w:name="_Ref125366606"/>
            <w:bookmarkStart w:id="52" w:name="_Ref125366606"/>
            <w:bookmarkEnd w:id="52"/>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Количество победителей закупки (в рамках одного лота):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Один победитель.</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3" w:name="_Ref125533374"/>
            <w:bookmarkStart w:id="54" w:name="_Ref125533374"/>
            <w:bookmarkEnd w:id="54"/>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Форма заключения Договора:</w:t>
            </w:r>
          </w:p>
        </w:tc>
        <w:tc>
          <w:tcPr>
            <w:tcW w:w="5676" w:type="dxa"/>
            <w:tcBorders/>
          </w:tcPr>
          <w:p>
            <w:pPr>
              <w:pStyle w:val="Style30"/>
              <w:widowControl w:val="false"/>
              <w:suppressAutoHyphens w:val="true"/>
              <w:spacing w:before="60" w:after="60"/>
              <w:jc w:val="left"/>
              <w:rPr/>
            </w:pPr>
            <w:r>
              <w:rPr>
                <w:rFonts w:eastAsia="Calibri" w:cs=""/>
                <w:kern w:val="0"/>
                <w:sz w:val="26"/>
                <w:szCs w:val="22"/>
                <w:lang w:val="ru-RU" w:eastAsia="en-US" w:bidi="ar-SA"/>
              </w:rPr>
              <w:t>В бумажной или электронной форме (подробный порядок заключения Договора содержится в 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_Ref126142429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30"/>
              <w:widowControl w:val="false"/>
              <w:suppressAutoHyphens w:val="true"/>
              <w:spacing w:before="60" w:after="60"/>
              <w:jc w:val="left"/>
              <w:rPr/>
            </w:pPr>
            <w:r>
              <w:rPr>
                <w:rFonts w:eastAsia="Calibri" w:cs=""/>
                <w:kern w:val="0"/>
                <w:sz w:val="26"/>
                <w:szCs w:val="22"/>
                <w:lang w:val="ru-RU" w:eastAsia="en-US" w:bidi="ar-SA"/>
              </w:rPr>
              <w:t xml:space="preserve">Если договор будет заключаться в электронной форме посредством информационной системы электронного документооборота </w:t>
            </w:r>
            <w:r>
              <w:rPr>
                <w:rStyle w:val="Style11"/>
                <w:rFonts w:eastAsia="Calibri" w:cs="" w:cstheme="minorBidi" w:eastAsiaTheme="minorHAnsi"/>
                <w:i w:val="false"/>
                <w:iCs w:val="false"/>
                <w:kern w:val="0"/>
                <w:sz w:val="26"/>
                <w:szCs w:val="26"/>
                <w:shd w:fill="auto" w:val="clear"/>
                <w:lang w:val="ru-RU" w:eastAsia="en-US" w:bidi="ar-SA"/>
              </w:rPr>
              <w:t>- Контур. Диадок (система электронного юридически значимого документооборота  (https://diadoc.kontur.ru))</w:t>
            </w:r>
            <w:r>
              <w:rPr>
                <w:rFonts w:eastAsia="Calibri" w:cs="" w:cstheme="minorBidi" w:eastAsiaTheme="minorHAnsi"/>
                <w:i w:val="false"/>
                <w:iCs w:val="false"/>
                <w:kern w:val="0"/>
                <w:sz w:val="26"/>
                <w:szCs w:val="26"/>
                <w:shd w:fill="auto" w:val="clear"/>
                <w:lang w:val="ru-RU" w:eastAsia="en-US" w:bidi="ar-SA"/>
              </w:rPr>
              <w:t>,</w:t>
            </w:r>
            <w:r>
              <w:rPr>
                <w:rFonts w:eastAsia="Calibri" w:cs=""/>
                <w:kern w:val="0"/>
                <w:sz w:val="26"/>
                <w:szCs w:val="22"/>
                <w:lang w:val="ru-RU" w:eastAsia="en-US" w:bidi="ar-SA"/>
              </w:rPr>
              <w:t xml:space="preserve"> то Победителю будет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5" w:name="_Ref125366813"/>
            <w:bookmarkStart w:id="56" w:name="_Ref125366813"/>
            <w:bookmarkEnd w:id="56"/>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подачи документов в отношении цепочки собственников, включая конечных бенефициаров:</w:t>
            </w:r>
          </w:p>
        </w:tc>
        <w:tc>
          <w:tcPr>
            <w:tcW w:w="5676" w:type="dxa"/>
            <w:tcBorders/>
          </w:tcPr>
          <w:p>
            <w:pPr>
              <w:pStyle w:val="Style30"/>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Для подачи документов в бумажной форме: </w:t>
            </w:r>
          </w:p>
          <w:p>
            <w:pPr>
              <w:pStyle w:val="Style30"/>
              <w:widowControl w:val="false"/>
              <w:suppressAutoHyphens w:val="true"/>
              <w:spacing w:before="60" w:after="60"/>
              <w:rPr>
                <w:b w:val="false"/>
                <w:bCs w:val="false"/>
              </w:rPr>
            </w:pPr>
            <w:r>
              <w:rPr>
                <w:rFonts w:eastAsia="Calibri" w:cs="Arial"/>
                <w:b w:val="false"/>
                <w:bCs w:val="false"/>
                <w:kern w:val="0"/>
                <w:sz w:val="26"/>
                <w:szCs w:val="22"/>
                <w:lang w:val="ru-RU" w:eastAsia="en-US" w:bidi="ar-SA"/>
              </w:rPr>
              <w:t xml:space="preserve">Контактное лицо: </w:t>
            </w:r>
          </w:p>
          <w:p>
            <w:pPr>
              <w:pStyle w:val="Style30"/>
              <w:widowControl w:val="false"/>
              <w:suppressAutoHyphens w:val="true"/>
              <w:spacing w:before="60" w:after="60"/>
              <w:rPr>
                <w:b w:val="false"/>
                <w:bCs w:val="false"/>
              </w:rPr>
            </w:pPr>
            <w:r>
              <w:rPr>
                <w:rFonts w:eastAsia="Calibri" w:cs="Arial"/>
                <w:b w:val="false"/>
                <w:bCs w:val="false"/>
                <w:kern w:val="0"/>
                <w:sz w:val="26"/>
                <w:szCs w:val="22"/>
                <w:lang w:val="ru-RU" w:eastAsia="en-US" w:bidi="ar-SA"/>
              </w:rPr>
              <w:t>Коркина Светлана Владимировна</w:t>
            </w:r>
          </w:p>
          <w:p>
            <w:pPr>
              <w:pStyle w:val="Normal"/>
              <w:widowControl w:val="false"/>
              <w:spacing w:lineRule="auto" w:line="240" w:before="0" w:after="0"/>
              <w:jc w:val="left"/>
              <w:rPr>
                <w:rFonts w:ascii="Times New Roman" w:hAnsi="Times New Roman" w:eastAsia="Calibri" w:cs="Arial"/>
                <w:kern w:val="0"/>
                <w:sz w:val="26"/>
                <w:lang w:val="ru-RU" w:eastAsia="en-US" w:bidi="ar-SA"/>
              </w:rPr>
            </w:pPr>
            <w:r>
              <w:rPr>
                <w:rFonts w:eastAsia="Calibri" w:cs="Arial"/>
                <w:kern w:val="0"/>
                <w:sz w:val="26"/>
                <w:szCs w:val="22"/>
                <w:lang w:val="ru-RU" w:eastAsia="en-US" w:bidi="ar-SA"/>
              </w:rPr>
              <w:t xml:space="preserve">Почтовый адрес: 680000 г. Хабаровск ул. Фрунзе, 49, </w:t>
            </w:r>
          </w:p>
          <w:p>
            <w:pPr>
              <w:pStyle w:val="Normal"/>
              <w:widowControl w:val="false"/>
              <w:spacing w:lineRule="auto" w:line="240" w:before="0" w:after="0"/>
              <w:jc w:val="left"/>
              <w:rPr/>
            </w:pPr>
            <w:r>
              <w:rPr>
                <w:rFonts w:eastAsia="Calibri" w:cs="Arial"/>
                <w:kern w:val="0"/>
                <w:sz w:val="26"/>
                <w:szCs w:val="22"/>
                <w:lang w:val="ru-RU" w:eastAsia="en-US" w:bidi="ar-SA"/>
              </w:rPr>
              <w:t xml:space="preserve">Электронная почта </w:t>
            </w:r>
            <w:r>
              <w:rPr>
                <w:rStyle w:val="Hyperlink"/>
                <w:rFonts w:eastAsia="Calibri" w:cs="Arial"/>
                <w:kern w:val="0"/>
                <w:sz w:val="26"/>
                <w:szCs w:val="22"/>
                <w:lang w:val="ru-RU" w:eastAsia="en-US" w:bidi="ar-SA"/>
              </w:rPr>
              <w:t>korkina-sv@dgk.ru</w:t>
            </w:r>
          </w:p>
          <w:p>
            <w:pPr>
              <w:pStyle w:val="Style30"/>
              <w:widowControl w:val="false"/>
              <w:suppressAutoHyphens w:val="true"/>
              <w:spacing w:before="120" w:after="60"/>
              <w:rPr/>
            </w:pPr>
            <w:r>
              <w:rPr>
                <w:rFonts w:eastAsia="Calibri" w:cs=""/>
                <w:color w:val="000000"/>
                <w:kern w:val="0"/>
                <w:sz w:val="26"/>
                <w:szCs w:val="22"/>
                <w:lang w:val="ru-RU" w:eastAsia="en-US" w:bidi="ar-SA"/>
              </w:rPr>
              <w:t>Для подачи документов в электронной форме:</w:t>
            </w:r>
          </w:p>
          <w:p>
            <w:pPr>
              <w:pStyle w:val="Style30"/>
              <w:widowControl w:val="false"/>
              <w:suppressAutoHyphens w:val="true"/>
              <w:spacing w:before="60" w:after="60"/>
              <w:rPr>
                <w:color w:val="000000"/>
              </w:rPr>
            </w:pPr>
            <w:bookmarkStart w:id="57" w:name="_Hlk193278855"/>
            <w:r>
              <w:rPr>
                <w:rFonts w:eastAsia="Calibri" w:cs=""/>
                <w:color w:val="000000"/>
                <w:kern w:val="0"/>
                <w:sz w:val="26"/>
                <w:szCs w:val="22"/>
                <w:lang w:val="ru-RU" w:eastAsia="en-US" w:bidi="ar-SA"/>
              </w:rPr>
              <w:t>Корпоративный сайт ПАО «РусГидро»</w:t>
            </w:r>
            <w:bookmarkEnd w:id="57"/>
            <w:r>
              <w:rPr>
                <w:rFonts w:eastAsia="Calibri" w:cs=""/>
                <w:color w:val="000000"/>
                <w:kern w:val="0"/>
                <w:sz w:val="26"/>
                <w:szCs w:val="22"/>
                <w:lang w:val="ru-RU" w:eastAsia="en-US" w:bidi="ar-SA"/>
              </w:rPr>
              <w:t>, через специально созданную учетную запись (подробный порядок содержится в разделе </w:t>
            </w:r>
            <w:r>
              <w:rPr>
                <w:rFonts w:eastAsia="Calibri" w:cs=""/>
                <w:color w:val="000000"/>
                <w:kern w:val="0"/>
                <w:sz w:val="26"/>
                <w:szCs w:val="22"/>
                <w:lang w:val="ru-RU" w:eastAsia="en-US" w:bidi="ar-SA"/>
              </w:rPr>
              <w:fldChar w:fldCharType="begin"/>
            </w:r>
            <w:r>
              <w:rPr>
                <w:sz w:val="26"/>
                <w:kern w:val="0"/>
                <w:szCs w:val="22"/>
                <w:rFonts w:eastAsia="Calibri" w:cs=""/>
                <w:color w:val="000000"/>
                <w:lang w:val="ru-RU" w:eastAsia="en-US" w:bidi="ar-SA"/>
              </w:rPr>
              <w:instrText xml:space="preserve"> REF _Ref126142429 \r \h </w:instrText>
            </w:r>
            <w:r>
              <w:rPr>
                <w:sz w:val="26"/>
                <w:kern w:val="0"/>
                <w:szCs w:val="22"/>
                <w:rFonts w:eastAsia="Calibri" w:cs=""/>
                <w:color w:val="000000"/>
                <w:lang w:val="ru-RU" w:eastAsia="en-US" w:bidi="ar-SA"/>
              </w:rPr>
              <w:fldChar w:fldCharType="separate"/>
            </w:r>
            <w:r>
              <w:rPr>
                <w:sz w:val="26"/>
                <w:kern w:val="0"/>
                <w:szCs w:val="22"/>
                <w:rFonts w:eastAsia="Calibri" w:cs=""/>
                <w:color w:val="000000"/>
                <w:lang w:val="ru-RU" w:eastAsia="en-US" w:bidi="ar-SA"/>
              </w:rPr>
              <w:t>5</w:t>
            </w:r>
            <w:r>
              <w:rPr>
                <w:sz w:val="26"/>
                <w:kern w:val="0"/>
                <w:szCs w:val="22"/>
                <w:rFonts w:eastAsia="Calibri" w:cs=""/>
                <w:color w:val="000000"/>
                <w:lang w:val="ru-RU" w:eastAsia="en-US" w:bidi="ar-SA"/>
              </w:rPr>
              <w:fldChar w:fldCharType="end"/>
            </w:r>
            <w:r>
              <w:rPr>
                <w:rFonts w:eastAsia="Calibri" w:cs=""/>
                <w:color w:val="000000"/>
                <w:kern w:val="0"/>
                <w:sz w:val="26"/>
                <w:szCs w:val="22"/>
                <w:lang w:val="ru-RU" w:eastAsia="en-US" w:bidi="ar-SA"/>
              </w:rPr>
              <w:t>).</w:t>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8" w:name="_Ref125368490"/>
            <w:bookmarkStart w:id="59" w:name="_Ref125368490"/>
            <w:bookmarkEnd w:id="59"/>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Некритичные пункты Проекта договора: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Отсутствуют.</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39"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9"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w:t>
              <w:br/>
              <w:t>исполнения Договора:</w:t>
            </w:r>
          </w:p>
        </w:tc>
        <w:tc>
          <w:tcPr>
            <w:tcW w:w="5676" w:type="dxa"/>
            <w:tcBorders/>
          </w:tcPr>
          <w:p>
            <w:pPr>
              <w:pStyle w:val="Style30"/>
              <w:widowControl w:val="false"/>
              <w:suppressAutoHyphens w:val="true"/>
              <w:spacing w:before="60" w:after="60"/>
              <w:rPr>
                <w:b/>
                <w:bCs/>
              </w:rPr>
            </w:pPr>
            <w:r>
              <w:rPr>
                <w:rFonts w:eastAsia="Calibri" w:cs=""/>
                <w:b/>
                <w:bCs/>
                <w:kern w:val="0"/>
                <w:sz w:val="26"/>
                <w:szCs w:val="22"/>
                <w:lang w:val="ru-RU" w:eastAsia="en-US" w:bidi="ar-SA"/>
              </w:rPr>
              <w:t>Требуется.</w:t>
            </w:r>
          </w:p>
          <w:p>
            <w:pPr>
              <w:pStyle w:val="Normal"/>
              <w:widowControl w:val="false"/>
              <w:spacing w:lineRule="auto" w:line="240"/>
              <w:ind w:hanging="0"/>
              <w:rPr>
                <w:sz w:val="26"/>
                <w:szCs w:val="26"/>
              </w:rPr>
            </w:pPr>
            <w:r>
              <w:rPr>
                <w:i w:val="false"/>
                <w:iCs w:val="false"/>
                <w:sz w:val="26"/>
                <w:szCs w:val="26"/>
                <w:u w:val="single"/>
              </w:rPr>
              <w:t>Возврат</w:t>
            </w:r>
            <w:r>
              <w:rPr>
                <w:i w:val="false"/>
                <w:iCs w:val="false"/>
                <w:sz w:val="26"/>
                <w:szCs w:val="26"/>
                <w:highlight w:val="white"/>
                <w:u w:val="single"/>
              </w:rPr>
              <w:t xml:space="preserve"> предварительной оплаты (аванса):</w:t>
            </w:r>
            <w:r>
              <w:rPr>
                <w:sz w:val="26"/>
                <w:szCs w:val="26"/>
                <w:highlight w:val="white"/>
              </w:rPr>
              <w:t xml:space="preserve"> Поставщик в срок не позднее 3 (трех) рабочих дней до предполагаемой даты выплаты авансового платежа, должен предоставить обеспечение исполнения обязательств по возврату аванса в виде Банковской гарантии в размере аванса в размере 30% от стоимости партии продукции по заявке (в соответствии с п.2.5.1 проекта Договора).</w:t>
            </w:r>
          </w:p>
          <w:p>
            <w:pPr>
              <w:pStyle w:val="Normal"/>
              <w:widowControl w:val="false"/>
              <w:spacing w:lineRule="auto" w:line="240"/>
              <w:ind w:hanging="0"/>
              <w:rPr>
                <w:sz w:val="26"/>
                <w:szCs w:val="26"/>
              </w:rPr>
            </w:pPr>
            <w:r>
              <w:rPr>
                <w:i/>
                <w:sz w:val="26"/>
                <w:szCs w:val="26"/>
              </w:rPr>
              <w:t xml:space="preserve">Валюта обеспечения исполнения Договора: </w:t>
            </w:r>
            <w:r>
              <w:rPr>
                <w:sz w:val="26"/>
                <w:szCs w:val="26"/>
              </w:rPr>
              <w:t>российский рубль</w:t>
            </w:r>
          </w:p>
          <w:p>
            <w:pPr>
              <w:pStyle w:val="Normal"/>
              <w:widowControl w:val="false"/>
              <w:spacing w:lineRule="auto" w:line="240"/>
              <w:ind w:hanging="0"/>
              <w:rPr>
                <w:sz w:val="26"/>
                <w:szCs w:val="26"/>
              </w:rPr>
            </w:pPr>
            <w:r>
              <w:rPr>
                <w:rFonts w:eastAsia="Calibri" w:cs=""/>
                <w:kern w:val="0"/>
                <w:sz w:val="26"/>
                <w:szCs w:val="26"/>
                <w:lang w:val="ru-RU" w:eastAsia="en-US" w:bidi="ar-SA"/>
              </w:rPr>
              <w:t>Иные требования к обеспечению исполнения Договора: приведены в Проекте договора (Приложение №2 к Документации о закупке)</w:t>
            </w:r>
          </w:p>
        </w:tc>
      </w:tr>
    </w:tbl>
    <w:p>
      <w:pPr>
        <w:pStyle w:val="Style24"/>
        <w:rPr/>
      </w:pPr>
      <w:bookmarkStart w:id="60" w:name="_Toc228975996"/>
      <w:bookmarkStart w:id="61" w:name="_Ref125360337"/>
      <w:bookmarkStart w:id="62" w:name="_Ref125360073"/>
      <w:r>
        <w:rPr/>
        <w:t>Общие положения</w:t>
      </w:r>
      <w:bookmarkEnd w:id="60"/>
      <w:bookmarkEnd w:id="61"/>
      <w:bookmarkEnd w:id="62"/>
    </w:p>
    <w:p>
      <w:pPr>
        <w:pStyle w:val="Style25"/>
        <w:rPr/>
      </w:pPr>
      <w:bookmarkStart w:id="63" w:name="_Toc228975997"/>
      <w:r>
        <w:rPr/>
        <w:t>Общие сведения о закупке</w:t>
      </w:r>
      <w:bookmarkEnd w:id="63"/>
    </w:p>
    <w:p>
      <w:pPr>
        <w:pStyle w:val="Style26"/>
        <w:rPr/>
      </w:pPr>
      <w:r>
        <w:rPr/>
        <w:t>Организатор официально размещенным Извещением приглашает лиц, указанных в подразделе </w:t>
      </w:r>
      <w:r>
        <w:rPr/>
        <w:fldChar w:fldCharType="begin"/>
      </w:r>
      <w:r>
        <w:rPr/>
        <w:instrText xml:space="preserve"> REF _Ref125359973 \r \h </w:instrText>
      </w:r>
      <w:r>
        <w:rPr/>
        <w:fldChar w:fldCharType="separate"/>
      </w:r>
      <w:r>
        <w:rPr/>
        <w:t>1.2</w:t>
      </w:r>
      <w:r>
        <w:rPr/>
        <w:fldChar w:fldCharType="end"/>
      </w:r>
      <w:r>
        <w:rPr/>
        <w:t>, к участию в закупке на право заключения договора, предмет которого указан в том же подразделе.</w:t>
      </w:r>
    </w:p>
    <w:p>
      <w:pPr>
        <w:pStyle w:val="Style26"/>
        <w:rPr/>
      </w:pPr>
      <w:r>
        <w:rPr/>
        <w:t>Требования к Участникам, а также к документам, подтверждающим соответствие установленным требованиям, приведены в разделе </w:t>
      </w:r>
      <w:r>
        <w:rPr/>
        <w:fldChar w:fldCharType="begin"/>
      </w:r>
      <w:r>
        <w:rPr/>
        <w:instrText xml:space="preserve"> REF _Ref125361210 \r \h </w:instrText>
      </w:r>
      <w:r>
        <w:rPr/>
        <w:fldChar w:fldCharType="separate"/>
      </w:r>
      <w:r>
        <w:rPr/>
        <w:t>3</w:t>
      </w:r>
      <w:r>
        <w:rPr/>
        <w:fldChar w:fldCharType="end"/>
      </w:r>
      <w:r>
        <w:rPr/>
        <w:t xml:space="preserve"> Документации о закупке.</w:t>
      </w:r>
    </w:p>
    <w:p>
      <w:pPr>
        <w:pStyle w:val="Style26"/>
        <w:rPr/>
      </w:pPr>
      <w:r>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14"/>
          </w:rPr>
          <w:t>Технических требованиях (Приложение № 1)</w:t>
        </w:r>
      </w:hyperlink>
      <w:r>
        <w:rPr/>
        <w:t xml:space="preserve">. </w:t>
      </w:r>
      <w:hyperlink w:anchor="Прил02_ПроектДоговора">
        <w:r>
          <w:rPr>
            <w:rStyle w:val="Style14"/>
          </w:rPr>
          <w:t>Проект договора</w:t>
        </w:r>
      </w:hyperlink>
      <w:r>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14"/>
          </w:rPr>
          <w:t>Приложении № 2</w:t>
        </w:r>
      </w:hyperlink>
      <w:r>
        <w:rPr/>
        <w:t>. 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национальный режим не предоставляется, то требования к закупаемой продукции (в части страны происхождения товара) также могут быть установлены в Структуре НМЦ (в составе Коммерческого предложения (форма 3) (</w:t>
      </w:r>
      <w:hyperlink w:anchor="Прил04_ФормыЗаявки">
        <w:r>
          <w:rPr>
            <w:rStyle w:val="Style14"/>
          </w:rPr>
          <w:t>Приложение № 4</w:t>
        </w:r>
      </w:hyperlink>
      <w:r>
        <w:rPr/>
        <w:t>)).</w:t>
      </w:r>
    </w:p>
    <w:p>
      <w:pPr>
        <w:pStyle w:val="Style26"/>
        <w:rPr/>
      </w:pPr>
      <w:r>
        <w:rPr/>
        <w:t>Подробная информация о порядке проведения закупки и участия в ней, а также о порядке заключения Договора, приведены в разделах </w:t>
      </w:r>
      <w:r>
        <w:rPr/>
        <w:fldChar w:fldCharType="begin"/>
      </w:r>
      <w:r>
        <w:rPr/>
        <w:instrText xml:space="preserve"> REF _Ref125361211 \r \h </w:instrText>
      </w:r>
      <w:r>
        <w:rPr/>
        <w:fldChar w:fldCharType="separate"/>
      </w:r>
      <w:r>
        <w:rPr/>
        <w:t>4</w:t>
      </w:r>
      <w:r>
        <w:rPr/>
        <w:fldChar w:fldCharType="end"/>
      </w:r>
      <w:r>
        <w:rPr/>
        <w:t xml:space="preserve">, </w:t>
      </w:r>
      <w:r>
        <w:rPr/>
        <w:fldChar w:fldCharType="begin"/>
      </w:r>
      <w:r>
        <w:rPr/>
        <w:instrText xml:space="preserve"> REF _Ref126142429 \r \h </w:instrText>
      </w:r>
      <w:r>
        <w:rPr/>
        <w:fldChar w:fldCharType="separate"/>
      </w:r>
      <w:r>
        <w:rPr/>
        <w:t>5</w:t>
      </w:r>
      <w:r>
        <w:rPr/>
        <w:fldChar w:fldCharType="end"/>
      </w:r>
      <w:r>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14"/>
          </w:rPr>
          <w:t>№ 4</w:t>
        </w:r>
      </w:hyperlink>
      <w:r>
        <w:rPr/>
        <w:t xml:space="preserve">, </w:t>
      </w:r>
      <w:hyperlink w:anchor="Прил05_ФормыПобедителя">
        <w:r>
          <w:rPr>
            <w:rStyle w:val="Style14"/>
          </w:rPr>
          <w:t>№ 5</w:t>
        </w:r>
      </w:hyperlink>
      <w:r>
        <w:rPr/>
        <w:t>.</w:t>
      </w:r>
    </w:p>
    <w:p>
      <w:pPr>
        <w:pStyle w:val="Style25"/>
        <w:rPr/>
      </w:pPr>
      <w:bookmarkStart w:id="64" w:name="_Toc228975998"/>
      <w:r>
        <w:rPr/>
        <w:t>Правовой статус документов</w:t>
      </w:r>
      <w:bookmarkEnd w:id="64"/>
    </w:p>
    <w:p>
      <w:pPr>
        <w:pStyle w:val="Style26"/>
        <w:rPr/>
      </w:pPr>
      <w:r>
        <w:rP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p>
    <w:p>
      <w:pPr>
        <w:pStyle w:val="Style26"/>
        <w:rPr/>
      </w:pPr>
      <w:r>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6"/>
        <w:keepNext w:val="true"/>
        <w:rPr/>
      </w:pPr>
      <w:bookmarkStart w:id="65" w:name="_Ref125366985"/>
      <w:r>
        <w:rPr/>
        <w:t>При определении условий Договора по результатам закупки используется иерархия документов, установленная в пункте </w:t>
      </w:r>
      <w:r>
        <w:rPr/>
        <w:fldChar w:fldCharType="begin"/>
      </w:r>
      <w:r>
        <w:rPr/>
        <w:instrText xml:space="preserve"> REF _Ref132288402 \r \h </w:instrText>
      </w:r>
      <w:r>
        <w:rPr/>
        <w:fldChar w:fldCharType="separate"/>
      </w:r>
      <w:r>
        <w:rPr/>
        <w:t>5.2.9</w:t>
      </w:r>
      <w:r>
        <w:rPr/>
        <w:fldChar w:fldCharType="end"/>
      </w:r>
      <w:bookmarkEnd w:id="65"/>
      <w:r>
        <w:rPr/>
        <w:t>.</w:t>
      </w:r>
    </w:p>
    <w:p>
      <w:pPr>
        <w:pStyle w:val="Style26"/>
        <w:rPr/>
      </w:pPr>
      <w:r>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pPr>
        <w:pStyle w:val="Style26"/>
        <w:rPr/>
      </w:pPr>
      <w:r>
        <w:rPr/>
        <w:t>Во всем, что не урегулировано Извещением и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pPr>
        <w:pStyle w:val="Style26"/>
        <w:rPr/>
      </w:pPr>
      <w:r>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6"/>
        <w:rPr/>
      </w:pPr>
      <w:r>
        <w:rPr/>
        <w:t>Иные документы Организатора и Участников не определяют права и обязанности сторон в связи с данной закупкой.</w:t>
      </w:r>
    </w:p>
    <w:p>
      <w:pPr>
        <w:pStyle w:val="Style26"/>
        <w:rPr/>
      </w:pPr>
      <w:r>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5"/>
        <w:rPr/>
      </w:pPr>
      <w:bookmarkStart w:id="66" w:name="_Toc228975999"/>
      <w:bookmarkStart w:id="67" w:name="_Ref125363536"/>
      <w:r>
        <w:rPr/>
        <w:t>Обжалование</w:t>
      </w:r>
      <w:bookmarkEnd w:id="66"/>
      <w:bookmarkEnd w:id="67"/>
    </w:p>
    <w:p>
      <w:pPr>
        <w:pStyle w:val="Style26"/>
        <w:rPr/>
      </w:pPr>
      <w:r>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6"/>
        <w:rPr/>
      </w:pPr>
      <w:r>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6"/>
        <w:keepNext w:val="true"/>
        <w:rPr/>
      </w:pPr>
      <w:r>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7"/>
        <w:rPr/>
      </w:pPr>
      <w:r>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7"/>
        <w:rPr/>
      </w:pPr>
      <w:r>
        <w:rPr/>
        <w:t>признать заявление Участника необоснованным.</w:t>
      </w:r>
    </w:p>
    <w:p>
      <w:pPr>
        <w:pStyle w:val="Style26"/>
        <w:rPr/>
      </w:pPr>
      <w:r>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Если обжалуемые действия (бездействие) совершены после окончания установленного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обжалование таких действий (бездействия) может осуществляться только Участником, подавшим заявку на участие в такой закупке.</w:t>
      </w:r>
    </w:p>
    <w:p>
      <w:pPr>
        <w:pStyle w:val="Style26"/>
        <w:rPr/>
      </w:pPr>
      <w:r>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7"/>
        <w:rPr/>
      </w:pPr>
      <w:r>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7"/>
        <w:rPr/>
      </w:pPr>
      <w:r>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Красноярского края.</w:t>
      </w:r>
    </w:p>
    <w:p>
      <w:pPr>
        <w:pStyle w:val="Style30"/>
        <w:ind w:left="1134" w:hanging="0"/>
        <w:rPr/>
      </w:pPr>
      <w:r>
        <w:rPr/>
        <w:t>Закупочная комиссия определяется в соответствии с Положением о закупке.</w:t>
      </w:r>
    </w:p>
    <w:p>
      <w:pPr>
        <w:pStyle w:val="Style25"/>
        <w:rPr/>
      </w:pPr>
      <w:bookmarkStart w:id="68" w:name="_Toc228976000"/>
      <w:bookmarkStart w:id="69" w:name="_Ref125472658"/>
      <w:r>
        <w:rPr/>
        <w:t>Особые положения при проведении закупки с использованием ЭП</w:t>
      </w:r>
      <w:bookmarkEnd w:id="68"/>
      <w:bookmarkEnd w:id="69"/>
    </w:p>
    <w:p>
      <w:pPr>
        <w:pStyle w:val="Style26"/>
        <w:rPr/>
      </w:pPr>
      <w:r>
        <w:rPr/>
        <w:t>Наименование ЭП, посредством которой проводится закупка, указано в подразделе </w:t>
      </w:r>
      <w:r>
        <w:rPr/>
        <w:fldChar w:fldCharType="begin"/>
      </w:r>
      <w:r>
        <w:rPr/>
        <w:instrText xml:space="preserve"> REF _Ref125359973 \r \h </w:instrText>
      </w:r>
      <w:r>
        <w:rPr/>
        <w:fldChar w:fldCharType="separate"/>
      </w:r>
      <w:r>
        <w:rPr/>
        <w:t>1.2</w:t>
      </w:r>
      <w:r>
        <w:rPr/>
        <w:fldChar w:fldCharType="end"/>
      </w:r>
      <w:r>
        <w:rPr/>
        <w:t>. До подачи заявки Участник обязан ознакомиться с Регламентом ЭП, опубликованными на сайте соответствующей ЭП.</w:t>
      </w:r>
    </w:p>
    <w:p>
      <w:pPr>
        <w:pStyle w:val="Style26"/>
        <w:rPr/>
      </w:pPr>
      <w:r>
        <w:rPr/>
        <w:t>Для участия в закупке Участник должен пройти процедуру регистрации на ЭП. Регистрация осуществляется Оператором ЭП, и Организатор (Заказчик) не несет ответственности за результат ее прохождения Участником, в том числе понесенные им затраты.</w:t>
      </w:r>
    </w:p>
    <w:p>
      <w:pPr>
        <w:pStyle w:val="Style26"/>
        <w:rPr/>
      </w:pPr>
      <w:bookmarkStart w:id="70" w:name="_Ref135748672"/>
      <w:r>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bookmarkEnd w:id="70"/>
    </w:p>
    <w:p>
      <w:pPr>
        <w:pStyle w:val="Style26"/>
        <w:rPr/>
      </w:pPr>
      <w:bookmarkStart w:id="71" w:name="_Ref135748741"/>
      <w:r>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71"/>
    </w:p>
    <w:p>
      <w:pPr>
        <w:pStyle w:val="Style25"/>
        <w:rPr/>
      </w:pPr>
      <w:bookmarkStart w:id="72" w:name="_Toc228976001"/>
      <w:r>
        <w:rPr/>
        <w:t>Прочие положения</w:t>
      </w:r>
      <w:bookmarkEnd w:id="72"/>
    </w:p>
    <w:p>
      <w:pPr>
        <w:pStyle w:val="Style26"/>
        <w:rPr/>
      </w:pPr>
      <w:r>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6"/>
        <w:rPr/>
      </w:pPr>
      <w:bookmarkStart w:id="73" w:name="_Ref136257236"/>
      <w:r>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bookmarkEnd w:id="73"/>
    </w:p>
    <w:p>
      <w:pPr>
        <w:pStyle w:val="Style26"/>
        <w:rPr/>
      </w:pPr>
      <w:r>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4"/>
        <w:rPr/>
      </w:pPr>
      <w:bookmarkStart w:id="74" w:name="_Toc228976002"/>
      <w:bookmarkStart w:id="75" w:name="_Ref125361210"/>
      <w:r>
        <w:rPr/>
        <w:t>Требования к Участникам</w:t>
      </w:r>
      <w:bookmarkEnd w:id="74"/>
      <w:bookmarkEnd w:id="75"/>
    </w:p>
    <w:p>
      <w:pPr>
        <w:pStyle w:val="Style25"/>
        <w:rPr/>
      </w:pPr>
      <w:bookmarkStart w:id="76" w:name="_Toc228976003"/>
      <w:bookmarkStart w:id="77" w:name="_Ref127524530"/>
      <w:r>
        <w:rPr/>
        <w:t>Общие требования к Участникам</w:t>
      </w:r>
      <w:bookmarkEnd w:id="76"/>
      <w:bookmarkEnd w:id="77"/>
    </w:p>
    <w:p>
      <w:pPr>
        <w:pStyle w:val="Style26"/>
        <w:rPr/>
      </w:pPr>
      <w:bookmarkStart w:id="78" w:name="_Ref125361514"/>
      <w:r>
        <w:rPr/>
        <w:t>Из лиц, указанных в подразделе </w:t>
      </w:r>
      <w:r>
        <w:rPr/>
        <w:fldChar w:fldCharType="begin"/>
      </w:r>
      <w:r>
        <w:rPr/>
        <w:instrText xml:space="preserve"> REF _Ref125359973 \r \h </w:instrText>
      </w:r>
      <w:r>
        <w:rPr/>
        <w:fldChar w:fldCharType="separate"/>
      </w:r>
      <w:r>
        <w:rPr/>
        <w:t>1.2</w:t>
      </w:r>
      <w:r>
        <w:rPr/>
        <w:fldChar w:fldCharType="end"/>
      </w:r>
      <w:r>
        <w:rP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78"/>
    </w:p>
    <w:p>
      <w:pPr>
        <w:pStyle w:val="Style26"/>
        <w:rPr/>
      </w:pPr>
      <w:r>
        <w:rPr/>
        <w:t>Однако, чтобы претендовать на победу в закупке Участник самостоятельно или Коллективный участник (подраздел </w:t>
      </w:r>
      <w:r>
        <w:rPr/>
        <w:fldChar w:fldCharType="begin"/>
      </w:r>
      <w:r>
        <w:rPr/>
        <w:instrText xml:space="preserve"> REF _Ref130308062 \r \h </w:instrText>
      </w:r>
      <w:r>
        <w:rPr/>
        <w:fldChar w:fldCharType="separate"/>
      </w:r>
      <w:r>
        <w:rPr/>
        <w:t>3.2</w:t>
      </w:r>
      <w:r>
        <w:rPr/>
        <w:fldChar w:fldCharType="end"/>
      </w:r>
      <w:r>
        <w:rPr/>
        <w:t>) в целом должен отвечать требованиям, установленным в Документации о закупке.</w:t>
      </w:r>
    </w:p>
    <w:p>
      <w:pPr>
        <w:pStyle w:val="Style26"/>
        <w:rPr/>
      </w:pPr>
      <w:r>
        <w:rPr/>
        <w:t xml:space="preserve">Требования к Участникам установлены с учетом предмета договора, </w:t>
      </w:r>
      <w:hyperlink w:anchor="Прил01_ТехТребования">
        <w:r>
          <w:rPr>
            <w:rStyle w:val="Style14"/>
          </w:rPr>
          <w:t>Технических требований (Приложение № 1)</w:t>
        </w:r>
      </w:hyperlink>
      <w:r>
        <w:rPr/>
        <w:t xml:space="preserve"> и </w:t>
      </w:r>
      <w:hyperlink w:anchor="Прил02_ПроектДоговора">
        <w:r>
          <w:rPr>
            <w:rStyle w:val="Style14"/>
          </w:rPr>
          <w:t>Проекта договора (Приложение № 2)</w:t>
        </w:r>
      </w:hyperlink>
      <w:r>
        <w:rPr/>
        <w:t>. 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национальный режим не предоставляется, то требования к Участникам (в части страны его регистрации) также могут быть установлены в Структуре НМЦ (в составе Коммерческого предложения (форма 3) (</w:t>
      </w:r>
      <w:hyperlink w:anchor="Прил04_ФормыЗаявки">
        <w:r>
          <w:rPr>
            <w:rStyle w:val="Style14"/>
          </w:rPr>
          <w:t>Приложение № 4</w:t>
        </w:r>
      </w:hyperlink>
      <w:r>
        <w:rPr/>
        <w:t>)).</w:t>
      </w:r>
    </w:p>
    <w:p>
      <w:pPr>
        <w:pStyle w:val="Style26"/>
        <w:keepNext w:val="true"/>
        <w:rPr/>
      </w:pPr>
      <w:r>
        <w:rPr/>
        <w:t>Установлены следующие требования к Участникам, которые приведены в </w:t>
      </w:r>
      <w:hyperlink w:anchor="Прил03_ТребованияУчастникам">
        <w:r>
          <w:rPr>
            <w:rStyle w:val="Style14"/>
          </w:rPr>
          <w:t>Приложении № 3</w:t>
        </w:r>
      </w:hyperlink>
      <w:r>
        <w:rPr/>
        <w:t>:</w:t>
      </w:r>
    </w:p>
    <w:p>
      <w:pPr>
        <w:pStyle w:val="Style27"/>
        <w:rPr/>
      </w:pPr>
      <w:r>
        <w:rPr/>
        <w:t>обязательные требования (подраздел </w:t>
      </w:r>
      <w:r>
        <w:rPr/>
        <w:fldChar w:fldCharType="begin"/>
      </w:r>
      <w:r>
        <w:rPr/>
        <w:instrText xml:space="preserve"> REF _Ref125361435 \r \h </w:instrText>
      </w:r>
      <w:r>
        <w:rPr/>
        <w:fldChar w:fldCharType="separate"/>
      </w:r>
      <w:r>
        <w:rPr/>
        <w:t>8.2</w:t>
      </w:r>
      <w:r>
        <w:rPr/>
        <w:fldChar w:fldCharType="end"/>
      </w:r>
      <w:r>
        <w:rPr/>
        <w:t>) – Участники должны им соответствовать;</w:t>
      </w:r>
    </w:p>
    <w:p>
      <w:pPr>
        <w:pStyle w:val="Style27"/>
        <w:rPr/>
      </w:pPr>
      <w:r>
        <w:rPr/>
        <w:t>специальные требования – Участники должны им соответствовать, если они установлены (подраздел </w:t>
      </w:r>
      <w:r>
        <w:rPr/>
        <w:fldChar w:fldCharType="begin"/>
      </w:r>
      <w:r>
        <w:rPr/>
        <w:instrText xml:space="preserve"> REF _Ref125709153 \r \h </w:instrText>
      </w:r>
      <w:r>
        <w:rPr/>
        <w:fldChar w:fldCharType="separate"/>
      </w:r>
      <w:r>
        <w:rPr/>
        <w:t>8.3</w:t>
      </w:r>
      <w:r>
        <w:rPr/>
        <w:fldChar w:fldCharType="end"/>
      </w:r>
      <w:r>
        <w:rPr/>
        <w:t>);</w:t>
      </w:r>
    </w:p>
    <w:p>
      <w:pPr>
        <w:pStyle w:val="Style27"/>
        <w:rPr/>
      </w:pPr>
      <w:r>
        <w:rPr/>
        <w:t>квалификационные требования – Участники должны им соответствовать, если они установлены (подраздел </w:t>
      </w:r>
      <w:r>
        <w:rPr/>
        <w:fldChar w:fldCharType="begin"/>
      </w:r>
      <w:r>
        <w:rPr/>
        <w:instrText xml:space="preserve"> REF _Ref125709154 \r \h </w:instrText>
      </w:r>
      <w:r>
        <w:rPr/>
        <w:fldChar w:fldCharType="separate"/>
      </w:r>
      <w:r>
        <w:rPr/>
        <w:t>8.4</w:t>
      </w:r>
      <w:r>
        <w:rPr/>
        <w:fldChar w:fldCharType="end"/>
      </w:r>
      <w:r>
        <w:rPr/>
        <w:t>).</w:t>
      </w:r>
    </w:p>
    <w:p>
      <w:pPr>
        <w:pStyle w:val="Style26"/>
        <w:keepNext w:val="true"/>
        <w:rPr/>
      </w:pPr>
      <w:r>
        <w:rPr/>
        <w:t>В рамках требований к Участникам могут быть установлены дополнительные требования:</w:t>
      </w:r>
    </w:p>
    <w:p>
      <w:pPr>
        <w:pStyle w:val="Style27"/>
        <w:rPr/>
      </w:pPr>
      <w:r>
        <w:rPr/>
        <w:t>к Коллективным участникам (подраздел </w:t>
      </w:r>
      <w:r>
        <w:rPr/>
        <w:fldChar w:fldCharType="begin"/>
      </w:r>
      <w:r>
        <w:rPr/>
        <w:instrText xml:space="preserve"> REF _Ref130308111 \r \h </w:instrText>
      </w:r>
      <w:r>
        <w:rPr/>
        <w:fldChar w:fldCharType="separate"/>
      </w:r>
      <w:r>
        <w:rPr/>
        <w:t>3.2</w:t>
      </w:r>
      <w:r>
        <w:rPr/>
        <w:fldChar w:fldCharType="end"/>
      </w:r>
      <w:r>
        <w:rPr/>
        <w:t>);</w:t>
      </w:r>
    </w:p>
    <w:p>
      <w:pPr>
        <w:pStyle w:val="Style27"/>
        <w:rPr/>
      </w:pPr>
      <w:r>
        <w:rPr/>
        <w:t>к Генеральным подрядчикам (подраздел </w:t>
      </w:r>
      <w:r>
        <w:rPr/>
        <w:fldChar w:fldCharType="begin"/>
      </w:r>
      <w:r>
        <w:rPr/>
        <w:instrText xml:space="preserve"> REF _Ref125361702 \r \h </w:instrText>
      </w:r>
      <w:r>
        <w:rPr/>
        <w:fldChar w:fldCharType="separate"/>
      </w:r>
      <w:r>
        <w:rPr/>
        <w:t>3.3</w:t>
      </w:r>
      <w:r>
        <w:rPr/>
        <w:fldChar w:fldCharType="end"/>
      </w:r>
      <w:r>
        <w:rPr/>
        <w:t>);</w:t>
      </w:r>
    </w:p>
    <w:p>
      <w:pPr>
        <w:pStyle w:val="Style27"/>
        <w:rPr/>
      </w:pPr>
      <w:r>
        <w:rPr/>
        <w:t>к привлечению субподрядчиков (соисполнителей) из числа субъектов МСП (подраздел </w:t>
      </w:r>
      <w:r>
        <w:rPr/>
        <w:fldChar w:fldCharType="begin"/>
      </w:r>
      <w:r>
        <w:rPr/>
        <w:instrText xml:space="preserve"> REF _Ref127524203 \r \h </w:instrText>
      </w:r>
      <w:r>
        <w:rPr/>
        <w:fldChar w:fldCharType="separate"/>
      </w:r>
      <w:r>
        <w:rPr/>
        <w:t>3.4</w:t>
      </w:r>
      <w:r>
        <w:rPr/>
        <w:fldChar w:fldCharType="end"/>
      </w:r>
      <w:r>
        <w:rPr/>
        <w:t>).</w:t>
      </w:r>
    </w:p>
    <w:p>
      <w:pPr>
        <w:pStyle w:val="Style26"/>
        <w:rPr/>
      </w:pPr>
      <w:r>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14"/>
          </w:rPr>
          <w:t>Требованиях к Участникам (Приложение № 3)</w:t>
        </w:r>
      </w:hyperlink>
      <w:r>
        <w:rPr/>
        <w:t>, если иное не установлено в Документации о закупке.</w:t>
      </w:r>
    </w:p>
    <w:p>
      <w:pPr>
        <w:pStyle w:val="Style25"/>
        <w:rPr/>
      </w:pPr>
      <w:bookmarkStart w:id="79" w:name="_Ref125361976"/>
      <w:bookmarkStart w:id="80" w:name="_Ref125361969"/>
      <w:bookmarkStart w:id="81" w:name="_Toc228976004"/>
      <w:bookmarkStart w:id="82" w:name="_Ref130308255"/>
      <w:bookmarkStart w:id="83" w:name="_Ref130308203"/>
      <w:bookmarkStart w:id="84" w:name="_Ref130308111"/>
      <w:bookmarkStart w:id="85" w:name="_Ref130308062"/>
      <w:bookmarkStart w:id="86" w:name="_Ref130305355"/>
      <w:r>
        <w:rPr/>
        <w:t>Коллективные участники</w:t>
      </w:r>
      <w:bookmarkEnd w:id="79"/>
      <w:bookmarkEnd w:id="80"/>
      <w:bookmarkEnd w:id="81"/>
      <w:bookmarkEnd w:id="82"/>
      <w:bookmarkEnd w:id="83"/>
      <w:bookmarkEnd w:id="84"/>
      <w:bookmarkEnd w:id="85"/>
      <w:bookmarkEnd w:id="86"/>
    </w:p>
    <w:p>
      <w:pPr>
        <w:pStyle w:val="Style26"/>
        <w:rPr/>
      </w:pPr>
      <w:r>
        <w:rPr/>
        <w:t>В закупке могут участвовать объединения юридических и (или) физических лиц (в том числе индивидуальные предприниматели), способные на законных основаниях выполнить требуемую поставку продукции – Коллективный участник.</w:t>
      </w:r>
    </w:p>
    <w:p>
      <w:pPr>
        <w:pStyle w:val="Style26"/>
        <w:rPr/>
      </w:pPr>
      <w:r>
        <w:rPr/>
        <w:t>Если заявка подается Коллективным участником, дополнительно должны быть выполнены требования настоящего подраздела, а также требования к дополнительным документам, предоставляемым Коллективными участниками в составе заявки, установленные в подразделе </w:t>
      </w:r>
      <w:r>
        <w:rPr/>
        <w:fldChar w:fldCharType="begin"/>
      </w:r>
      <w:r>
        <w:rPr/>
        <w:instrText xml:space="preserve"> REF _Ref125552455 \r \h </w:instrText>
      </w:r>
      <w:r>
        <w:rPr/>
        <w:fldChar w:fldCharType="separate"/>
      </w:r>
      <w:r>
        <w:rPr/>
        <w:t>8.5</w:t>
      </w:r>
      <w:r>
        <w:rPr/>
        <w:fldChar w:fldCharType="end"/>
      </w:r>
      <w:r>
        <w:rPr/>
        <w:t xml:space="preserve"> </w:t>
      </w:r>
      <w:hyperlink w:anchor="Прил03_ТребованияУчастникам">
        <w:r>
          <w:rPr>
            <w:rStyle w:val="Style14"/>
          </w:rPr>
          <w:t>Требований к Участникам (Приложение № 3)</w:t>
        </w:r>
      </w:hyperlink>
      <w:r>
        <w:rPr/>
        <w:t>.</w:t>
      </w:r>
    </w:p>
    <w:p>
      <w:pPr>
        <w:pStyle w:val="Style26"/>
        <w:keepNext w:val="true"/>
        <w:rPr/>
      </w:pPr>
      <w:bookmarkStart w:id="87" w:name="_Ref125366972"/>
      <w:r>
        <w:rPr/>
        <w:t>Члены Коллективного участника заключают между собой соглашение, соответствующее нормам ГК РФ, и отвечающее следующим требованиям:</w:t>
      </w:r>
      <w:bookmarkEnd w:id="87"/>
    </w:p>
    <w:p>
      <w:pPr>
        <w:pStyle w:val="Style27"/>
        <w:rPr/>
      </w:pPr>
      <w:r>
        <w:rPr/>
        <w:t>в соглашении должны быть определены права и обязанности сторон как в рамках участия в закупке, так и в рамках исполнения Договора;</w:t>
      </w:r>
    </w:p>
    <w:p>
      <w:pPr>
        <w:pStyle w:val="Style27"/>
        <w:rPr/>
      </w:pPr>
      <w:r>
        <w:rPr/>
        <w:t>в соглашении должно быть приведено распределение номенклатуры, объемов и стоимости, а также сроков поставки продукции между членами Коллективного участника;</w:t>
      </w:r>
    </w:p>
    <w:p>
      <w:pPr>
        <w:pStyle w:val="Style27"/>
        <w:rPr/>
      </w:pPr>
      <w:r>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процессе участия в закупке, заключения и последующего исполнения Договора;</w:t>
      </w:r>
    </w:p>
    <w:p>
      <w:pPr>
        <w:pStyle w:val="Style27"/>
        <w:rPr/>
      </w:pPr>
      <w:r>
        <w:rPr/>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pPr>
        <w:pStyle w:val="Style27"/>
        <w:rPr/>
      </w:pPr>
      <w:r>
        <w:rPr/>
        <w:t>срок действия соглашения должен быть не менее срока исполнения обязательств Участника по Договору, предлагаемого в составе заявки;</w:t>
      </w:r>
    </w:p>
    <w:p>
      <w:pPr>
        <w:pStyle w:val="Style27"/>
        <w:rPr/>
      </w:pPr>
      <w:r>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pPr>
        <w:pStyle w:val="Style26"/>
        <w:rPr/>
      </w:pPr>
      <w:r>
        <w:rPr/>
        <w:t>Заявка подготавливается и подается лидером от своего имени со ссылкой в Письме о подаче оферты (форма 2) (</w:t>
      </w:r>
      <w:hyperlink w:anchor="Прил04_ФормыЗаявки">
        <w:r>
          <w:rPr>
            <w:rStyle w:val="Style14"/>
          </w:rPr>
          <w:t>Приложение № 4</w:t>
        </w:r>
      </w:hyperlink>
      <w:r>
        <w:rPr/>
        <w:t>) на то, что он представляет интересы Коллективного участника.</w:t>
      </w:r>
    </w:p>
    <w:p>
      <w:pPr>
        <w:pStyle w:val="Style26"/>
        <w:rPr/>
      </w:pPr>
      <w:bookmarkStart w:id="88" w:name="_Ref125368791"/>
      <w:r>
        <w:rPr/>
        <w:t>Каждый член Коллективного участника (включая лидера Коллективного участника) должен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bookmarkEnd w:id="88"/>
    </w:p>
    <w:p>
      <w:pPr>
        <w:pStyle w:val="Style26"/>
        <w:rPr/>
      </w:pPr>
      <w:r>
        <w:rPr/>
        <w:t>При рассмотрении Коллективного участника на соответствие специальным требованиям к Участникам (подраздел </w:t>
      </w:r>
      <w:r>
        <w:rPr/>
        <w:fldChar w:fldCharType="begin"/>
      </w:r>
      <w:r>
        <w:rPr/>
        <w:instrText xml:space="preserve"> REF _Ref125709153 \r \h </w:instrText>
      </w:r>
      <w:r>
        <w:rPr/>
        <w:fldChar w:fldCharType="separate"/>
      </w:r>
      <w:r>
        <w:rPr/>
        <w:t>8.3</w:t>
      </w:r>
      <w:r>
        <w:rPr/>
        <w:fldChar w:fldCharType="end"/>
      </w:r>
      <w:r>
        <w:rPr/>
        <w:t>) 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каждого из членов Коллективного участника, которым в соответствии с Планом распределения объемов поставки продукции (форма 10) (</w:t>
      </w:r>
      <w:hyperlink w:anchor="Прил04_ФормыЗаявки">
        <w:r>
          <w:rPr>
            <w:rStyle w:val="Style14"/>
          </w:rPr>
          <w:t>Приложение № 4</w:t>
        </w:r>
      </w:hyperlink>
      <w:r>
        <w:rPr/>
        <w:t>) будет поручена непосредственная поставка продукции, требующая наличия необходимого статуса в соответствии с законодательством (для членства в саморегулируемых организациях – с уровнем ответственности соответствующего члена Коллективного участника пропорционально заявляемому объему поставки продукции).</w:t>
      </w:r>
    </w:p>
    <w:p>
      <w:pPr>
        <w:pStyle w:val="Style26"/>
        <w:rPr/>
      </w:pPr>
      <w:bookmarkStart w:id="89" w:name="_Ref134705077"/>
      <w:r>
        <w:rPr/>
        <w:t>При рассмотрении и оценке Коллективного участника на соответствие квалификационным требованиям (подраздел </w:t>
      </w:r>
      <w:r>
        <w:rPr/>
        <w:fldChar w:fldCharType="begin"/>
      </w:r>
      <w:r>
        <w:rPr/>
        <w:instrText xml:space="preserve"> REF _Ref125550270 \r \h </w:instrText>
      </w:r>
      <w:r>
        <w:rPr/>
        <w:fldChar w:fldCharType="separate"/>
      </w:r>
      <w:r>
        <w:rPr/>
        <w:t>8.4</w:t>
      </w:r>
      <w:r>
        <w:rPr/>
        <w:fldChar w:fldCharType="end"/>
      </w:r>
      <w:r>
        <w:rPr/>
        <w:t>), параметры деятельности членов Коллективного участника, такие как наличие требуемого опыта, обеспеченность материально-техническими ресурсами и кадровыми ресурсами, суммируются по каждому такому показателю (Коллективный участник должен в совокупности отвечать установленным квалификационным требованиям по каждому показателю). При этом в части определения требуемого опыта к суммированию принимается опыт только тех членов Коллективного участника, которым в соответствии с Планом распределения объемов поставки продукции (форма 10) (</w:t>
      </w:r>
      <w:hyperlink w:anchor="Прил04_ФормыЗаявки">
        <w:r>
          <w:rPr>
            <w:rStyle w:val="Style14"/>
          </w:rPr>
          <w:t>Приложение № 4</w:t>
        </w:r>
      </w:hyperlink>
      <w:r>
        <w:rPr/>
        <w:t>) будет поручена непосредственная поставка продукции, требующая наличия указанного опыта.</w:t>
      </w:r>
      <w:bookmarkEnd w:id="89"/>
    </w:p>
    <w:p>
      <w:pPr>
        <w:pStyle w:val="Style26"/>
        <w:keepNext w:val="true"/>
        <w:rPr/>
      </w:pPr>
      <w:bookmarkStart w:id="90" w:name="_Ref125361726"/>
      <w:r>
        <w:rP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90"/>
    </w:p>
    <w:p>
      <w:pPr>
        <w:pStyle w:val="Style27"/>
        <w:rPr/>
      </w:pPr>
      <w:r>
        <w:rPr/>
        <w:t>принимать участие в этой же закупке самостоятельно;</w:t>
      </w:r>
    </w:p>
    <w:p>
      <w:pPr>
        <w:pStyle w:val="Style27"/>
        <w:rPr/>
      </w:pPr>
      <w:r>
        <w:rPr/>
        <w:t>принимать участие в этой же закупке в качестве Генерального подрядчика или субподрядчика (подраздел </w:t>
      </w:r>
      <w:r>
        <w:rPr/>
        <w:fldChar w:fldCharType="begin"/>
      </w:r>
      <w:r>
        <w:rPr/>
        <w:instrText xml:space="preserve"> REF _Ref125361702 \r \h </w:instrText>
      </w:r>
      <w:r>
        <w:rPr/>
        <w:fldChar w:fldCharType="separate"/>
      </w:r>
      <w:r>
        <w:rPr/>
        <w:t>3.3</w:t>
      </w:r>
      <w:r>
        <w:rPr/>
        <w:fldChar w:fldCharType="end"/>
      </w:r>
      <w:r>
        <w:rPr/>
        <w:t>).</w:t>
      </w:r>
    </w:p>
    <w:p>
      <w:pPr>
        <w:pStyle w:val="Style30"/>
        <w:ind w:left="1134" w:hanging="0"/>
        <w:rPr/>
      </w:pPr>
      <w:r>
        <w:rPr/>
        <w:t>В случае невыполнения данного требования все заявки с участием таких лиц будут отклонены.</w:t>
      </w:r>
    </w:p>
    <w:p>
      <w:pPr>
        <w:pStyle w:val="Style26"/>
        <w:rPr/>
      </w:pPr>
      <w:r>
        <w:rP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r>
          <w:rPr>
            <w:rStyle w:val="Style14"/>
          </w:rPr>
          <w:t>Приложение № 3</w:t>
        </w:r>
      </w:hyperlink>
      <w:r>
        <w:rPr>
          <w:rStyle w:val="Style14"/>
        </w:rPr>
        <w:t>)</w:t>
      </w:r>
      <w:r>
        <w:rPr/>
        <w:t>, а также при несоблюдении вышеуказанных норм настоящего подраздела, заявка такого Коллективного участника отклоняется.</w:t>
      </w:r>
    </w:p>
    <w:p>
      <w:pPr>
        <w:pStyle w:val="Style26"/>
        <w:rPr/>
      </w:pPr>
      <w:r>
        <w:rP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pPr>
        <w:pStyle w:val="Style26"/>
        <w:rPr/>
      </w:pPr>
      <w:r>
        <w:rP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pPr>
        <w:pStyle w:val="Style25"/>
        <w:rPr/>
      </w:pPr>
      <w:bookmarkStart w:id="91" w:name="_Toc228976005"/>
      <w:bookmarkStart w:id="92" w:name="_Ref125361702"/>
      <w:r>
        <w:rPr/>
        <w:t>Генеральные подрядчики</w:t>
      </w:r>
      <w:bookmarkEnd w:id="91"/>
      <w:bookmarkEnd w:id="92"/>
    </w:p>
    <w:p>
      <w:pPr>
        <w:pStyle w:val="Style26"/>
        <w:rPr/>
      </w:pPr>
      <w:r>
        <w:rPr/>
        <w:t>Нормы настоящего подраздела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рассмотрение заявок Участников с учетом привлекаемых субподрядчиков.</w:t>
      </w:r>
    </w:p>
    <w:p>
      <w:pPr>
        <w:pStyle w:val="Style26"/>
        <w:rPr/>
      </w:pPr>
      <w:r>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fldChar w:fldCharType="begin"/>
      </w:r>
      <w:r>
        <w:rPr/>
        <w:instrText xml:space="preserve"> REF _Ref125709777 \r \h </w:instrText>
      </w:r>
      <w:r>
        <w:rPr/>
        <w:fldChar w:fldCharType="separate"/>
      </w:r>
      <w:r>
        <w:rPr/>
        <w:t>8.6</w:t>
      </w:r>
      <w:r>
        <w:rPr/>
        <w:fldChar w:fldCharType="end"/>
      </w:r>
      <w:r>
        <w:rPr/>
        <w:t xml:space="preserve"> </w:t>
      </w:r>
      <w:hyperlink w:anchor="Прил03_ТребованияУчастникам">
        <w:r>
          <w:rPr>
            <w:rStyle w:val="Style14"/>
          </w:rPr>
          <w:t>Требований к Участникам (Приложение № 3)</w:t>
        </w:r>
      </w:hyperlink>
      <w:r>
        <w:rPr/>
        <w:t>.</w:t>
      </w:r>
    </w:p>
    <w:p>
      <w:pPr>
        <w:pStyle w:val="Style26"/>
        <w:keepNext w:val="true"/>
        <w:rPr/>
      </w:pPr>
      <w:r>
        <w:rPr/>
        <w:t>Генеральный подрядчик:</w:t>
      </w:r>
    </w:p>
    <w:p>
      <w:pPr>
        <w:pStyle w:val="Style27"/>
        <w:rPr/>
      </w:pPr>
      <w:r>
        <w:rPr/>
        <w:t>должен самостоятельно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p>
    <w:p>
      <w:pPr>
        <w:pStyle w:val="Style27"/>
        <w:rPr/>
      </w:pPr>
      <w:r>
        <w:rPr/>
        <w:t>в рамках специальных требований (подраздел </w:t>
      </w:r>
      <w:r>
        <w:rPr/>
        <w:fldChar w:fldCharType="begin"/>
      </w:r>
      <w:r>
        <w:rPr/>
        <w:instrText xml:space="preserve"> REF _Ref125709153 \r \h </w:instrText>
      </w:r>
      <w:r>
        <w:rPr/>
        <w:fldChar w:fldCharType="separate"/>
      </w:r>
      <w:r>
        <w:rPr/>
        <w:t>8.3</w:t>
      </w:r>
      <w:r>
        <w:rPr/>
        <w:fldChar w:fldCharType="end"/>
      </w:r>
      <w:r>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7"/>
        <w:rPr/>
      </w:pPr>
      <w:r>
        <w:rPr/>
        <w:t>в рамках остальных специальных требований и квалификационных требований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 должен отвечать им только в части объема поставки продукции, который ему предполагается поручить в соответствии с Планом распределения объемов поставки продукции (форма 10) (</w:t>
      </w:r>
      <w:hyperlink w:anchor="Прил04_ФормыЗаявки">
        <w:r>
          <w:rPr>
            <w:rStyle w:val="Style14"/>
          </w:rPr>
          <w:t>Приложение № 4</w:t>
        </w:r>
      </w:hyperlink>
      <w:r>
        <w:rPr/>
        <w:t>).</w:t>
      </w:r>
    </w:p>
    <w:p>
      <w:pPr>
        <w:pStyle w:val="Style26"/>
        <w:keepNext w:val="true"/>
        <w:rPr/>
      </w:pPr>
      <w:r>
        <w:rPr/>
        <w:t>Каждый субподрядчик из привлекаемых Генеральным подрядчиком должен отвечать:</w:t>
      </w:r>
    </w:p>
    <w:p>
      <w:pPr>
        <w:pStyle w:val="Style27"/>
        <w:rPr/>
      </w:pPr>
      <w:r>
        <w:rPr/>
        <w:t>обязательным требованиям (подраздел </w:t>
      </w:r>
      <w:r>
        <w:rPr/>
        <w:fldChar w:fldCharType="begin"/>
      </w:r>
      <w:r>
        <w:rPr/>
        <w:instrText xml:space="preserve"> REF _Ref125361435 \r \h </w:instrText>
      </w:r>
      <w:r>
        <w:rPr/>
        <w:fldChar w:fldCharType="separate"/>
      </w:r>
      <w:r>
        <w:rPr/>
        <w:t>8.2</w:t>
      </w:r>
      <w:r>
        <w:rPr/>
        <w:fldChar w:fldCharType="end"/>
      </w:r>
      <w:r>
        <w:rPr/>
        <w:t>);</w:t>
      </w:r>
    </w:p>
    <w:p>
      <w:pPr>
        <w:pStyle w:val="Style27"/>
        <w:rPr/>
      </w:pPr>
      <w:r>
        <w:rPr/>
        <w:t>специальным требованиям (подраздел </w:t>
      </w:r>
      <w:r>
        <w:rPr/>
        <w:fldChar w:fldCharType="begin"/>
      </w:r>
      <w:r>
        <w:rPr/>
        <w:instrText xml:space="preserve"> REF _Ref125709153 \r \h </w:instrText>
      </w:r>
      <w:r>
        <w:rPr/>
        <w:fldChar w:fldCharType="separate"/>
      </w:r>
      <w:r>
        <w:rPr/>
        <w:t>8.3</w:t>
      </w:r>
      <w:r>
        <w:rPr/>
        <w:fldChar w:fldCharType="end"/>
      </w:r>
      <w:r>
        <w:rPr/>
        <w:t>) (в случае их установления), за исключением требования о наличии членства в саморегулируемых организациях;</w:t>
      </w:r>
    </w:p>
    <w:p>
      <w:pPr>
        <w:pStyle w:val="Style27"/>
        <w:rPr/>
      </w:pPr>
      <w:r>
        <w:rPr/>
        <w:t>квалификационным требованиям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w:t>
      </w:r>
    </w:p>
    <w:p>
      <w:pPr>
        <w:pStyle w:val="Style30"/>
        <w:ind w:left="1134" w:hanging="0"/>
        <w:rPr/>
      </w:pPr>
      <w:bookmarkStart w:id="93" w:name="_Ref125368863"/>
      <w:r>
        <w:rPr/>
        <w:t xml:space="preserve">При этом соответствовать специальным и квалификационным требованиям субподрядчик должен только в части объема поставки продукции, который ему поручен </w:t>
      </w:r>
      <w:bookmarkEnd w:id="93"/>
      <w:r>
        <w:rPr/>
        <w:t>в соответствии с Планом распределения объемов поставки продукции (форма 10) (</w:t>
      </w:r>
      <w:hyperlink w:anchor="Прил04_ФормыЗаявки">
        <w:r>
          <w:rPr>
            <w:rStyle w:val="Style14"/>
          </w:rPr>
          <w:t>Приложение № 4</w:t>
        </w:r>
      </w:hyperlink>
      <w:r>
        <w:rPr/>
        <w:t>).</w:t>
      </w:r>
    </w:p>
    <w:p>
      <w:pPr>
        <w:pStyle w:val="Style26"/>
        <w:rPr/>
      </w:pPr>
      <w:bookmarkStart w:id="94" w:name="_Ref125361799"/>
      <w:r>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rPr/>
        <w:fldChar w:fldCharType="begin"/>
      </w:r>
      <w:r>
        <w:rPr/>
        <w:instrText xml:space="preserve"> REF _Ref130308203 \r \h </w:instrText>
      </w:r>
      <w:r>
        <w:rPr/>
        <w:fldChar w:fldCharType="separate"/>
      </w:r>
      <w:r>
        <w:rPr/>
        <w:t>3.2</w:t>
      </w:r>
      <w:r>
        <w:rPr/>
        <w:fldChar w:fldCharType="end"/>
      </w:r>
      <w:r>
        <w:rP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w:t>
      </w:r>
      <w:bookmarkEnd w:id="94"/>
    </w:p>
    <w:p>
      <w:pPr>
        <w:pStyle w:val="Style26"/>
        <w:rPr/>
      </w:pPr>
      <w:r>
        <w:rPr/>
        <w:t>Если подразделом </w:t>
      </w:r>
      <w:r>
        <w:rPr/>
        <w:fldChar w:fldCharType="begin"/>
      </w:r>
      <w:r>
        <w:rPr/>
        <w:instrText xml:space="preserve"> REF _Ref125359973 \r \h </w:instrText>
      </w:r>
      <w:r>
        <w:rPr/>
        <w:fldChar w:fldCharType="separate"/>
      </w:r>
      <w:r>
        <w:rPr/>
        <w:t>1.2</w:t>
      </w:r>
      <w:r>
        <w:rPr/>
        <w:fldChar w:fldCharType="end"/>
      </w:r>
      <w:r>
        <w:rPr/>
        <w:t xml:space="preserve"> не предусмотрено рассмотрение заявок Участников с учетом привлекаемых субподрядчиков, то при рассмотрении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fldChar w:fldCharType="begin"/>
      </w:r>
      <w:r>
        <w:rPr/>
        <w:instrText xml:space="preserve"> REF _Ref125709973 \r \h </w:instrText>
      </w:r>
      <w:r>
        <w:rPr/>
        <w:fldChar w:fldCharType="separate"/>
      </w:r>
      <w:r>
        <w:rPr/>
        <w:t>8.6</w:t>
      </w:r>
      <w:r>
        <w:rPr/>
        <w:fldChar w:fldCharType="end"/>
      </w:r>
      <w:r>
        <w:rPr/>
        <w:t xml:space="preserve"> </w:t>
      </w:r>
      <w:hyperlink w:anchor="Прил03_ТребованияУчастникам">
        <w:r>
          <w:rPr>
            <w:rStyle w:val="Style14"/>
          </w:rPr>
          <w:t>Требований к Участникам (Приложение № 3)</w:t>
        </w:r>
      </w:hyperlink>
      <w:r>
        <w:rPr/>
        <w:t>.Ответственность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5"/>
        <w:rPr/>
      </w:pPr>
      <w:bookmarkStart w:id="95" w:name="_Toc228976006"/>
      <w:bookmarkStart w:id="96" w:name="_Ref127524203"/>
      <w:r>
        <w:rPr/>
        <w:t>Привлечение субподрядчиков (соисполнителей) из числа субъектов МСП</w:t>
      </w:r>
      <w:bookmarkEnd w:id="95"/>
      <w:bookmarkEnd w:id="96"/>
    </w:p>
    <w:p>
      <w:pPr>
        <w:pStyle w:val="Style26"/>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обязанность Участников по привлечению к исполнению Договора субподрядчиков (соисполнителей) из числа субъектов МСП.</w:t>
      </w:r>
    </w:p>
    <w:p>
      <w:pPr>
        <w:pStyle w:val="Style26"/>
        <w:rPr/>
      </w:pPr>
      <w:r>
        <w:rPr/>
        <w:t>Помимо требований настоящего подраздела, Участник также должен выполнить требования к дополнительным документам, предоставляемым им в составе заявки, установленные в подразделе </w:t>
      </w:r>
      <w:r>
        <w:rPr/>
        <w:fldChar w:fldCharType="begin"/>
      </w:r>
      <w:r>
        <w:rPr/>
        <w:instrText xml:space="preserve"> REF _Ref125550523 \r \h </w:instrText>
      </w:r>
      <w:r>
        <w:rPr/>
        <w:fldChar w:fldCharType="separate"/>
      </w:r>
      <w:r>
        <w:rPr/>
        <w:t>8.7</w:t>
      </w:r>
      <w:r>
        <w:rPr/>
        <w:fldChar w:fldCharType="end"/>
      </w:r>
      <w:r>
        <w:rPr/>
        <w:t xml:space="preserve"> </w:t>
      </w:r>
      <w:hyperlink w:anchor="Прил03_ТребованияУчастникам">
        <w:r>
          <w:rPr>
            <w:rStyle w:val="Style14"/>
          </w:rPr>
          <w:t>Требований к Участникам (Приложение № 3)</w:t>
        </w:r>
      </w:hyperlink>
      <w:r>
        <w:rPr/>
        <w:t>. При этом в Плане распределения объемов поставки продукции (форма 10) (</w:t>
      </w:r>
      <w:hyperlink w:anchor="Прил04_ФормыЗаявки">
        <w:r>
          <w:rPr>
            <w:rStyle w:val="Style14"/>
          </w:rPr>
          <w:t>Приложение № 4</w:t>
        </w:r>
      </w:hyperlink>
      <w:r>
        <w:rPr/>
        <w:t>) Участник должен указать привлекаемых им субподрядчиков (соисполнителей) из числа субъектов МСП, а также является ли самостоятельно Участник субъектом МСП.</w:t>
      </w:r>
    </w:p>
    <w:p>
      <w:pPr>
        <w:pStyle w:val="Style26"/>
        <w:rPr/>
      </w:pPr>
      <w:r>
        <w:rPr/>
        <w:t>При этом требования подраздела </w:t>
      </w:r>
      <w:r>
        <w:rPr/>
        <w:fldChar w:fldCharType="begin"/>
      </w:r>
      <w:r>
        <w:rPr/>
        <w:instrText xml:space="preserve"> REF _Ref125550523 \r \h </w:instrText>
      </w:r>
      <w:r>
        <w:rPr/>
        <w:fldChar w:fldCharType="separate"/>
      </w:r>
      <w:r>
        <w:rPr/>
        <w:t>8.7</w:t>
      </w:r>
      <w:r>
        <w:rPr/>
        <w:fldChar w:fldCharType="end"/>
      </w:r>
      <w:r>
        <w:rPr/>
        <w:t xml:space="preserve"> </w:t>
      </w:r>
      <w:hyperlink w:anchor="Прил03_ТребованияУчастникам">
        <w:r>
          <w:rPr>
            <w:rStyle w:val="Style14"/>
          </w:rPr>
          <w:t>Требований к Участникам (Приложение № 3)</w:t>
        </w:r>
      </w:hyperlink>
      <w:r>
        <w:rPr/>
        <w:t xml:space="preserve"> применяются вне зависимости от порядка рассмотрения заявок участников, являющихся Генеральными подрядчиками (с учетом субподрядчиков, или без учета субподрядчиков) (подраздел </w:t>
      </w:r>
      <w:r>
        <w:rPr/>
        <w:fldChar w:fldCharType="begin"/>
      </w:r>
      <w:r>
        <w:rPr/>
        <w:instrText xml:space="preserve"> REF _Ref125361702 \r \h </w:instrText>
      </w:r>
      <w:r>
        <w:rPr/>
        <w:fldChar w:fldCharType="separate"/>
      </w:r>
      <w:r>
        <w:rPr/>
        <w:t>3.3</w:t>
      </w:r>
      <w:r>
        <w:rPr/>
        <w:fldChar w:fldCharType="end"/>
      </w:r>
      <w:r>
        <w:rPr/>
        <w:t>).</w:t>
      </w:r>
    </w:p>
    <w:p>
      <w:pPr>
        <w:pStyle w:val="Style26"/>
        <w:rPr/>
      </w:pPr>
      <w:bookmarkStart w:id="97" w:name="_Ref125473377"/>
      <w:r>
        <w:rPr/>
        <w:t>Участник считается выполнившим требование по привлечению к исполнению Договора субподрядчиков (соисполнителей) из числа субъектов МСП, при условии предоставления информации, указанной в Плане распределения объемов поставки продукции (форма 10) (</w:t>
      </w:r>
      <w:hyperlink w:anchor="Прил04_ФормыЗаявки">
        <w:r>
          <w:rPr>
            <w:rStyle w:val="Style14"/>
          </w:rPr>
          <w:t>Приложение № 4</w:t>
        </w:r>
      </w:hyperlink>
      <w:r>
        <w:rPr/>
        <w:t>).</w:t>
      </w:r>
      <w:bookmarkEnd w:id="97"/>
      <w:r>
        <w:rPr/>
        <w:t xml:space="preserve"> В случае непредставления этой 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p>
    <w:p>
      <w:pPr>
        <w:sectPr>
          <w:headerReference w:type="default" r:id="rId7"/>
          <w:footerReference w:type="default" r:id="rId8"/>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6"/>
        <w:rPr/>
      </w:pPr>
      <w:r>
        <w:rPr/>
        <w:t>Если привлекаемые субъекты МСП входят в состав Коллективного участника (подраздел </w:t>
      </w:r>
      <w:r>
        <w:rPr/>
        <w:fldChar w:fldCharType="begin"/>
      </w:r>
      <w:r>
        <w:rPr/>
        <w:instrText xml:space="preserve"> REF _Ref130308255 \r \h </w:instrText>
      </w:r>
      <w:r>
        <w:rPr/>
        <w:fldChar w:fldCharType="separate"/>
      </w:r>
      <w:r>
        <w:rPr/>
        <w:t>3.2</w:t>
      </w:r>
      <w:r>
        <w:rPr/>
        <w:fldChar w:fldCharType="end"/>
      </w:r>
      <w:r>
        <w:rPr/>
        <w:t>), то объем исполнения Договора таким Коллективным участником засчитывается в исполнение требования по привлечению субъектов МСП в качестве субподрядчиков (соисполнителей), при условии выполнения остальных требований настоящего подраздела.</w:t>
      </w:r>
    </w:p>
    <w:p>
      <w:pPr>
        <w:pStyle w:val="Style24"/>
        <w:rPr/>
      </w:pPr>
      <w:bookmarkStart w:id="98" w:name="_Toc228976007"/>
      <w:bookmarkStart w:id="99" w:name="_Ref125367974"/>
      <w:bookmarkStart w:id="100" w:name="_Ref125367107"/>
      <w:bookmarkStart w:id="101" w:name="_Ref125367098"/>
      <w:bookmarkStart w:id="102" w:name="_Ref125361211"/>
      <w:r>
        <w:rPr/>
        <w:t>Порядок проведения закупки</w:t>
      </w:r>
      <w:bookmarkEnd w:id="98"/>
      <w:bookmarkEnd w:id="99"/>
      <w:bookmarkEnd w:id="100"/>
      <w:bookmarkEnd w:id="101"/>
      <w:bookmarkEnd w:id="102"/>
    </w:p>
    <w:p>
      <w:pPr>
        <w:pStyle w:val="Style25"/>
        <w:rPr/>
      </w:pPr>
      <w:bookmarkStart w:id="103" w:name="_Toc228976008"/>
      <w:bookmarkStart w:id="104" w:name="_Ref126141932"/>
      <w:r>
        <w:rPr/>
        <w:t>Общий порядок проведения закупки</w:t>
      </w:r>
      <w:bookmarkEnd w:id="103"/>
      <w:bookmarkEnd w:id="104"/>
    </w:p>
    <w:p>
      <w:pPr>
        <w:pStyle w:val="Style26"/>
        <w:keepNext w:val="true"/>
        <w:spacing w:before="120" w:after="120"/>
        <w:rPr/>
      </w:pPr>
      <w:r>
        <w:rPr/>
        <w:t>Закупка проводится в следующем порядке:</w:t>
      </w:r>
    </w:p>
    <w:tbl>
      <w:tblPr>
        <w:tblStyle w:val="af6"/>
        <w:tblW w:w="14003" w:type="dxa"/>
        <w:jc w:val="left"/>
        <w:tblInd w:w="1129" w:type="dxa"/>
        <w:tblLayout w:type="fixed"/>
        <w:tblCellMar>
          <w:top w:w="0" w:type="dxa"/>
          <w:left w:w="28" w:type="dxa"/>
          <w:bottom w:w="0" w:type="dxa"/>
          <w:right w:w="28" w:type="dxa"/>
        </w:tblCellMar>
        <w:tblLook w:val="04a0" w:noHBand="0" w:noVBand="1" w:firstColumn="1" w:lastRow="0" w:lastColumn="0" w:firstRow="1"/>
      </w:tblPr>
      <w:tblGrid>
        <w:gridCol w:w="431"/>
        <w:gridCol w:w="3023"/>
        <w:gridCol w:w="1514"/>
        <w:gridCol w:w="424"/>
        <w:gridCol w:w="4113"/>
        <w:gridCol w:w="2267"/>
        <w:gridCol w:w="2230"/>
      </w:tblGrid>
      <w:tr>
        <w:trPr>
          <w:cnfStyle w:val="100000000000" w:firstRow="1" w:lastRow="0" w:firstColumn="0" w:lastColumn="0" w:oddVBand="0" w:evenVBand="0" w:oddHBand="0" w:evenHBand="0" w:firstRowFirstColumn="0" w:firstRowLastColumn="0" w:lastRowFirstColumn="0" w:lastRowLastColumn="0"/>
        </w:trPr>
        <w:tc>
          <w:tcPr>
            <w:tcW w:w="431" w:type="dxa"/>
            <w:tcBorders>
              <w:left w:val="nil"/>
            </w:tcBorders>
            <w:vAlign w:val="bottom"/>
          </w:tcPr>
          <w:p>
            <w:pPr>
              <w:pStyle w:val="Style30"/>
              <w:keepNext w:val="true"/>
              <w:keepLines w:val="false"/>
              <w:widowControl w:val="false"/>
              <w:suppressAutoHyphens w:val="tru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571" w:type="dxa"/>
            <w:gridSpan w:val="6"/>
            <w:tcBorders>
              <w:right w:val="nil"/>
            </w:tcBorders>
          </w:tcPr>
          <w:p>
            <w:pPr>
              <w:pStyle w:val="Style30"/>
              <w:keepNext w:val="true"/>
              <w:keepLines w:val="false"/>
              <w:widowControl w:val="false"/>
              <w:suppressAutoHyphens w:val="true"/>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431"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4961" w:type="dxa"/>
            <w:gridSpan w:val="3"/>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Подготовка заявки (раздел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113" w:type="dxa"/>
            <w:vMerge w:val="restart"/>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_Ref130394802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7" w:type="dxa"/>
            <w:vMerge w:val="restart"/>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restart"/>
            <w:tcBorders>
              <w:right w:val="nil"/>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31"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023" w:type="dxa"/>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1938" w:type="dxa"/>
            <w:gridSpan w:val="2"/>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4113"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vAlign w:val="bottom"/>
          </w:tcPr>
          <w:p>
            <w:pPr>
              <w:pStyle w:val="Style30"/>
              <w:widowControl w:val="false"/>
              <w:suppressAutoHyphens w:val="true"/>
              <w:spacing w:before="40" w:after="40"/>
              <w:jc w:val="center"/>
              <w:rPr>
                <w:bCs/>
                <w:sz w:val="24"/>
                <w:szCs w:val="24"/>
              </w:rPr>
            </w:pPr>
            <w:r>
              <w:rPr>
                <w:bCs/>
                <w:sz w:val="24"/>
                <w:szCs w:val="24"/>
              </w:rPr>
            </w:r>
          </w:p>
        </w:tc>
      </w:tr>
      <w:tr>
        <w:trPr/>
        <w:tc>
          <w:tcPr>
            <w:tcW w:w="431"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41" w:type="dxa"/>
            <w:gridSpan w:val="5"/>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 заявкам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_Ref130221619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0" w:type="dxa"/>
            <w:vMerge w:val="restart"/>
            <w:tcBorders>
              <w:right w:val="nil"/>
            </w:tcBorders>
            <w:vAlign w:val="center"/>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31"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023" w:type="dxa"/>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заявок (отборочная стадия), в том числе (при необходимости) проведение аккредитации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1938" w:type="dxa"/>
            <w:gridSpan w:val="2"/>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w:t>
              <w:br/>
              <w:t>национального режима / запрета, ограничения)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_Ref186216127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113" w:type="dxa"/>
            <w:tcBorders/>
            <w:vAlign w:val="center"/>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7" w:type="dxa"/>
            <w:vMerge w:val="restart"/>
            <w:tcBorders/>
            <w:vAlign w:val="center"/>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continue"/>
            <w:tcBorders>
              <w:right w:val="nil"/>
            </w:tcBorders>
          </w:tcPr>
          <w:p>
            <w:pPr>
              <w:pStyle w:val="Style30"/>
              <w:widowControl w:val="false"/>
              <w:suppressAutoHyphens w:val="true"/>
              <w:spacing w:before="40" w:after="40"/>
              <w:jc w:val="center"/>
              <w:rPr>
                <w:bCs/>
                <w:sz w:val="24"/>
                <w:szCs w:val="24"/>
              </w:rPr>
            </w:pPr>
            <w:r>
              <w:rPr>
                <w:bCs/>
                <w:sz w:val="24"/>
                <w:szCs w:val="24"/>
              </w:rPr>
            </w:r>
          </w:p>
        </w:tc>
      </w:tr>
      <w:tr>
        <w:trPr>
          <w:trHeight w:val="210" w:hRule="atLeast"/>
        </w:trPr>
        <w:tc>
          <w:tcPr>
            <w:tcW w:w="431"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074" w:type="dxa"/>
            <w:gridSpan w:val="4"/>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Проведение аукциона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_Ref149223728 \n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7" w:type="dxa"/>
            <w:vMerge w:val="continue"/>
            <w:tcBorders/>
            <w:vAlign w:val="center"/>
          </w:tcPr>
          <w:p>
            <w:pPr>
              <w:pStyle w:val="Style30"/>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30"/>
              <w:widowControl w:val="false"/>
              <w:suppressAutoHyphens w:val="true"/>
              <w:spacing w:before="40" w:after="40"/>
              <w:jc w:val="center"/>
              <w:rPr>
                <w:bCs/>
                <w:sz w:val="24"/>
                <w:szCs w:val="24"/>
              </w:rPr>
            </w:pPr>
            <w:r>
              <w:rPr>
                <w:bCs/>
                <w:sz w:val="24"/>
                <w:szCs w:val="24"/>
              </w:rPr>
            </w:r>
          </w:p>
        </w:tc>
      </w:tr>
      <w:tr>
        <w:trPr>
          <w:trHeight w:val="210" w:hRule="atLeast"/>
        </w:trPr>
        <w:tc>
          <w:tcPr>
            <w:tcW w:w="431" w:type="dxa"/>
            <w:tcBorders>
              <w:left w:val="nil"/>
              <w:bottom w:val="dashed" w:sz="4" w:space="0" w:color="000000"/>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4537" w:type="dxa"/>
            <w:gridSpan w:val="2"/>
            <w:tcBorders>
              <w:bottom w:val="dashed" w:sz="4" w:space="0" w:color="000000"/>
            </w:tcBorders>
            <w:vAlign w:val="center"/>
          </w:tcPr>
          <w:p>
            <w:pPr>
              <w:pStyle w:val="Style30"/>
              <w:widowControl w:val="false"/>
              <w:suppressAutoHyphens w:val="true"/>
              <w:spacing w:before="40" w:after="40"/>
              <w:jc w:val="center"/>
              <w:rPr>
                <w:rFonts w:ascii="Times New Roman" w:hAnsi="Times New Roman" w:eastAsia="Calibri" w:cs=""/>
                <w:kern w:val="0"/>
                <w:lang w:val="ru-RU" w:eastAsia="en-US" w:bidi="ar-SA"/>
              </w:rPr>
            </w:pPr>
            <w:r>
              <w:rPr>
                <w:rFonts w:eastAsia="Calibri" w:cs=""/>
                <w:bCs/>
                <w:kern w:val="0"/>
                <w:sz w:val="24"/>
                <w:szCs w:val="24"/>
                <w:lang w:val="ru-RU" w:eastAsia="en-US" w:bidi="ar-SA"/>
              </w:rPr>
              <w:t>Оценка и сопоставление заявок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537" w:type="dxa"/>
            <w:gridSpan w:val="2"/>
            <w:tcBorders>
              <w:bottom w:val="dashed" w:sz="4" w:space="0" w:color="000000"/>
            </w:tcBorders>
            <w:vAlign w:val="center"/>
          </w:tcPr>
          <w:p>
            <w:pPr>
              <w:pStyle w:val="Style30"/>
              <w:widowControl w:val="false"/>
              <w:suppressAutoHyphens w:val="true"/>
              <w:spacing w:before="40" w:after="40"/>
              <w:jc w:val="center"/>
              <w:rPr>
                <w:rFonts w:ascii="Times New Roman" w:hAnsi="Times New Roman" w:eastAsia="Calibri" w:cs=""/>
                <w:kern w:val="0"/>
                <w:lang w:val="ru-RU" w:eastAsia="en-US" w:bidi="ar-SA"/>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_Ref186216127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7"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30"/>
              <w:widowControl w:val="false"/>
              <w:suppressAutoHyphens w:val="true"/>
              <w:spacing w:before="40" w:after="40"/>
              <w:jc w:val="center"/>
              <w:rPr>
                <w:bCs/>
                <w:sz w:val="24"/>
                <w:szCs w:val="24"/>
              </w:rPr>
            </w:pPr>
            <w:r>
              <w:rPr>
                <w:bCs/>
                <w:sz w:val="24"/>
                <w:szCs w:val="24"/>
              </w:rPr>
            </w:r>
          </w:p>
        </w:tc>
      </w:tr>
      <w:tr>
        <w:trPr>
          <w:trHeight w:val="722" w:hRule="atLeast"/>
        </w:trPr>
        <w:tc>
          <w:tcPr>
            <w:tcW w:w="431"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074" w:type="dxa"/>
            <w:gridSpan w:val="4"/>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7"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30"/>
              <w:widowControl w:val="false"/>
              <w:suppressAutoHyphens w:val="true"/>
              <w:spacing w:before="40" w:after="40"/>
              <w:jc w:val="center"/>
              <w:rPr>
                <w:bCs/>
                <w:sz w:val="24"/>
                <w:szCs w:val="24"/>
              </w:rPr>
            </w:pPr>
            <w:r>
              <w:rPr>
                <w:bCs/>
                <w:sz w:val="24"/>
                <w:szCs w:val="24"/>
              </w:rPr>
            </w:r>
          </w:p>
        </w:tc>
      </w:tr>
      <w:tr>
        <w:trPr/>
        <w:tc>
          <w:tcPr>
            <w:tcW w:w="431" w:type="dxa"/>
            <w:tcBorders>
              <w:left w:val="nil"/>
            </w:tcBorders>
            <w:vAlign w:val="bottom"/>
          </w:tcPr>
          <w:p>
            <w:pPr>
              <w:pStyle w:val="Style30"/>
              <w:widowControl w:val="false"/>
              <w:suppressAutoHyphens w:val="true"/>
              <w:spacing w:before="40" w:after="40"/>
              <w:jc w:val="center"/>
              <w:rPr>
                <w:bCs/>
                <w:sz w:val="24"/>
                <w:szCs w:val="24"/>
                <w:u w:val="single"/>
              </w:rPr>
            </w:pPr>
            <w:r>
              <w:rPr>
                <w:rFonts w:eastAsia="Wingdings 3" w:cs="Wingdings 3" w:ascii="Wingdings 3" w:hAnsi="Wingdings 3"/>
                <w:bCs/>
                <w:kern w:val="0"/>
                <w:sz w:val="24"/>
                <w:szCs w:val="24"/>
                <w:u w:val="single"/>
                <w:lang w:val="ru-RU" w:eastAsia="en-US" w:bidi="ar-SA"/>
              </w:rPr>
              <w:sym w:font="Wingdings 3" w:char="f0d4"/>
            </w:r>
          </w:p>
        </w:tc>
        <w:tc>
          <w:tcPr>
            <w:tcW w:w="4961" w:type="dxa"/>
            <w:gridSpan w:val="3"/>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Заключение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_Ref138232981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p>
            <w:pPr>
              <w:pStyle w:val="Style30"/>
              <w:widowControl w:val="false"/>
              <w:suppressAutoHyphens w:val="true"/>
              <w:spacing w:before="40" w:after="40"/>
              <w:jc w:val="center"/>
              <w:rPr>
                <w:bCs/>
                <w:sz w:val="24"/>
                <w:szCs w:val="24"/>
              </w:rPr>
            </w:pPr>
            <w:r>
              <w:rPr>
                <w:bCs/>
                <w:sz w:val="24"/>
                <w:szCs w:val="24"/>
              </w:rPr>
            </w:r>
          </w:p>
        </w:tc>
        <w:tc>
          <w:tcPr>
            <w:tcW w:w="4113" w:type="dxa"/>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Проведение преддоговорных переговоров</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_Ref125552570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4497" w:type="dxa"/>
            <w:gridSpan w:val="2"/>
            <w:tcBorders>
              <w:right w:val="nil"/>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Уклонение Победителя</w:t>
              <w:br/>
              <w:t>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sectPr>
          <w:headerReference w:type="default" r:id="rId9"/>
          <w:headerReference w:type="first" r:id="rId10"/>
          <w:footerReference w:type="default" r:id="rId11"/>
          <w:footerReference w:type="first" r:id="rId12"/>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5"/>
        <w:rPr/>
      </w:pPr>
      <w:bookmarkStart w:id="105" w:name="_Toc228976009"/>
      <w:bookmarkStart w:id="106" w:name="_Ref130286532"/>
      <w:r>
        <w:rPr/>
        <w:t>Официальное размещение Извещения и Документации о закупке</w:t>
      </w:r>
      <w:bookmarkEnd w:id="105"/>
      <w:bookmarkEnd w:id="106"/>
    </w:p>
    <w:p>
      <w:pPr>
        <w:pStyle w:val="Style26"/>
        <w:rPr/>
      </w:pPr>
      <w:r>
        <w:rPr/>
        <w:t>Извещение и Документация о закупке официально размещены на Официальном сайте (ЕИС) и доступны для ознакомления без взимания платы. Иные публикации не влекут для Организатора никаких последствий.</w:t>
      </w:r>
    </w:p>
    <w:p>
      <w:pPr>
        <w:pStyle w:val="Style26"/>
        <w:rPr/>
      </w:pPr>
      <w:r>
        <w:rPr/>
        <w:t>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 с последующим размещением ее на Официальном сайте (ЕИС) в течение 1 (одного) рабочего дня со дня устранения указанных неполадок.</w:t>
      </w:r>
    </w:p>
    <w:p>
      <w:pPr>
        <w:pStyle w:val="Style26"/>
        <w:rPr/>
      </w:pPr>
      <w:bookmarkStart w:id="107" w:name="_Ref125362785"/>
      <w:r>
        <w:rPr/>
        <w:t>Участники могут получить Документацию о закупке также через ЭП. Порядок получения информации через ЭП определяется Регламентом ЭП, с использованием которой проводится закупка.</w:t>
      </w:r>
      <w:bookmarkEnd w:id="107"/>
    </w:p>
    <w:p>
      <w:pPr>
        <w:pStyle w:val="Style26"/>
        <w:rPr/>
      </w:pPr>
      <w:r>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5"/>
        <w:rPr/>
      </w:pPr>
      <w:bookmarkStart w:id="108" w:name="_Toc228976010"/>
      <w:bookmarkStart w:id="109" w:name="_Ref130394681"/>
      <w:bookmarkStart w:id="110" w:name="_Ref130281199"/>
      <w:r>
        <w:rPr/>
        <w:t>Подготовка заявки</w:t>
      </w:r>
      <w:bookmarkEnd w:id="108"/>
      <w:bookmarkEnd w:id="109"/>
      <w:bookmarkEnd w:id="110"/>
    </w:p>
    <w:p>
      <w:pPr>
        <w:pStyle w:val="Style26"/>
        <w:rPr/>
      </w:pPr>
      <w:r>
        <w:rPr/>
        <w:t>Участник должен подготовить заявку с учетом требований Документации о закупке.</w:t>
      </w:r>
    </w:p>
    <w:p>
      <w:pPr>
        <w:pStyle w:val="Style26"/>
        <w:rPr/>
      </w:pPr>
      <w:r>
        <w:rPr/>
        <w:t>Участник самостоятельно несет все расходы, связанные с подготовкой и подачей заявки (подраздел </w:t>
      </w:r>
      <w:r>
        <w:rPr/>
        <w:fldChar w:fldCharType="begin"/>
      </w:r>
      <w:r>
        <w:rPr/>
        <w:instrText xml:space="preserve"> REF _Ref125362119 \r \h </w:instrText>
      </w:r>
      <w:r>
        <w:rPr/>
        <w:fldChar w:fldCharType="separate"/>
      </w:r>
      <w:r>
        <w:rPr/>
        <w:t>4.6</w:t>
      </w:r>
      <w:r>
        <w:rPr/>
        <w:fldChar w:fldCharType="end"/>
      </w:r>
      <w:r>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6"/>
        <w:rPr/>
      </w:pPr>
      <w:r>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14"/>
          </w:rPr>
          <w:t>Приложением № 6 – Состав заявки</w:t>
        </w:r>
      </w:hyperlink>
      <w:r>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14"/>
          </w:rPr>
          <w:t>Приложение № 4</w:t>
        </w:r>
      </w:hyperlink>
      <w:r>
        <w:rPr/>
        <w:t>.</w:t>
      </w:r>
    </w:p>
    <w:p>
      <w:pPr>
        <w:pStyle w:val="Style26"/>
        <w:rPr/>
      </w:pPr>
      <w:bookmarkStart w:id="111" w:name="_Ref125365866"/>
      <w:bookmarkStart w:id="112" w:name="_Ref130394854"/>
      <w:r>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заявки на часть лота и (или) при получении двух и более заявок от одного Участника в рамках одного лота) все поданные им заявки подлежат отклонению.</w:t>
      </w:r>
      <w:bookmarkEnd w:id="111"/>
      <w:bookmarkEnd w:id="112"/>
    </w:p>
    <w:p>
      <w:pPr>
        <w:pStyle w:val="Style26"/>
        <w:rPr/>
      </w:pPr>
      <w:r>
        <w:rPr/>
        <w:t>Заявка должна быть действительна в течение срока проведения закупки и до истечения срока, отведенного на заключение Договора (пункт </w:t>
      </w:r>
      <w:r>
        <w:rPr/>
        <w:fldChar w:fldCharType="begin"/>
      </w:r>
      <w:r>
        <w:rPr/>
        <w:instrText xml:space="preserve"> REF _Ref130293821 \r \h </w:instrText>
      </w:r>
      <w:r>
        <w:rPr/>
        <w:fldChar w:fldCharType="separate"/>
      </w:r>
      <w:r>
        <w:rPr/>
        <w:t>5.2.1</w:t>
      </w:r>
      <w:r>
        <w:rPr/>
        <w:fldChar w:fldCharType="end"/>
      </w:r>
      <w:r>
        <w:rPr/>
        <w:t>). В любом случае этот срок должен быть не менее чем 90 (девяносто)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Указание меньшего срока действия заявки в Письме о подаче оферты (форма 2) (</w:t>
      </w:r>
      <w:hyperlink w:anchor="Прил04_ФормыЗаявки">
        <w:r>
          <w:rPr>
            <w:rStyle w:val="Style14"/>
          </w:rPr>
          <w:t>Приложение № 4</w:t>
        </w:r>
      </w:hyperlink>
      <w:r>
        <w:rPr/>
        <w:t>) может служить основанием для отклонения заявки.</w:t>
      </w:r>
    </w:p>
    <w:p>
      <w:pPr>
        <w:pStyle w:val="Style26"/>
        <w:rPr/>
      </w:pPr>
      <w:r>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6"/>
        <w:rPr/>
      </w:pPr>
      <w:r>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6"/>
        <w:rPr/>
      </w:pPr>
      <w:bookmarkStart w:id="113" w:name="_Ref125370708"/>
      <w:bookmarkStart w:id="114" w:name="_Ref125370700"/>
      <w:r>
        <w:rPr/>
        <w:t>Итоговая стоимость заявки (цена Договора) без учета НДС не должна превышать установленную Заказчиком НМЦ (подраздел </w:t>
      </w:r>
      <w:r>
        <w:rPr/>
        <w:fldChar w:fldCharType="begin"/>
      </w:r>
      <w:r>
        <w:rPr/>
        <w:instrText xml:space="preserve"> REF _Ref125359973 \r \h </w:instrText>
      </w:r>
      <w:r>
        <w:rPr/>
        <w:fldChar w:fldCharType="separate"/>
      </w:r>
      <w:r>
        <w:rPr/>
        <w:t>1.2</w:t>
      </w:r>
      <w:r>
        <w:rPr/>
        <w:fldChar w:fldCharType="end"/>
      </w:r>
      <w:r>
        <w:rPr/>
        <w:t>), в противном случае заявка будет отклонена.</w:t>
      </w:r>
    </w:p>
    <w:p>
      <w:pPr>
        <w:pStyle w:val="Style26"/>
        <w:rPr/>
      </w:pPr>
      <w:r>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14"/>
          </w:rPr>
          <w:t>Техническими требованиями (Приложение № 1)</w:t>
        </w:r>
      </w:hyperlink>
      <w:r>
        <w:rPr/>
        <w:t xml:space="preserve"> и </w:t>
      </w:r>
      <w:hyperlink w:anchor="Прил02_ПроектДоговора">
        <w:r>
          <w:rPr>
            <w:rStyle w:val="Style14"/>
          </w:rPr>
          <w:t>Проектом договора (Приложение № 2)</w:t>
        </w:r>
      </w:hyperlink>
      <w:r>
        <w:rPr/>
        <w:t>, а также сумму налогов (</w:t>
      </w:r>
      <w:r>
        <w:rPr>
          <w:rFonts w:cs="Times New Roman"/>
        </w:rPr>
        <w:t>за исключением НДС, в случае его уплаты)</w:t>
      </w:r>
      <w:r>
        <w:rPr/>
        <w:t xml:space="preserve">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113"/>
      <w:bookmarkEnd w:id="114"/>
    </w:p>
    <w:p>
      <w:pPr>
        <w:pStyle w:val="Style26"/>
        <w:rPr/>
      </w:pPr>
      <w:r>
        <w:rPr/>
        <w:t>Нормы настоящего пункта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 (форма 4; </w:t>
      </w:r>
      <w:hyperlink w:anchor="Прил04_ФормыЗаявки">
        <w:r>
          <w:rPr>
            <w:rStyle w:val="Style14"/>
          </w:rPr>
          <w:t>Приложение № 4</w:t>
        </w:r>
      </w:hyperlink>
      <w:r>
        <w:rPr/>
        <w:t xml:space="preserve">), в виде согласия (декларации) на поставку продукции на условиях, указанных в Документации о закупке, в том числе в </w:t>
      </w:r>
      <w:hyperlink w:anchor="Прил01_ТехТребования">
        <w:r>
          <w:rPr>
            <w:rStyle w:val="Style14"/>
          </w:rPr>
          <w:t>Технических требованиях (Приложение № 1)</w:t>
        </w:r>
      </w:hyperlink>
      <w:r>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6"/>
        <w:rPr/>
      </w:pPr>
      <w:bookmarkStart w:id="115" w:name="_Ref130379863"/>
      <w:r>
        <w:rPr/>
        <w:t>Нормы настоящего пункта и пунктов </w:t>
      </w:r>
      <w:r>
        <w:rPr/>
        <w:fldChar w:fldCharType="begin"/>
      </w:r>
      <w:r>
        <w:rPr/>
        <w:instrText xml:space="preserve"> REF _Ref164250625 \r \h </w:instrText>
      </w:r>
      <w:r>
        <w:rPr/>
        <w:fldChar w:fldCharType="separate"/>
      </w:r>
      <w:r>
        <w:rPr/>
        <w:t>4.3.12</w:t>
      </w:r>
      <w:r>
        <w:rPr/>
        <w:fldChar w:fldCharType="end"/>
      </w:r>
      <w:r>
        <w:rPr/>
        <w:t xml:space="preserve"> – </w:t>
      </w:r>
      <w:r>
        <w:rPr/>
        <w:fldChar w:fldCharType="begin"/>
      </w:r>
      <w:r>
        <w:rPr/>
        <w:instrText xml:space="preserve"> REF _Ref130455500 \r \h </w:instrText>
      </w:r>
      <w:r>
        <w:rPr/>
        <w:fldChar w:fldCharType="separate"/>
      </w:r>
      <w:r>
        <w:rPr/>
        <w:t>4.3.15</w:t>
      </w:r>
      <w:r>
        <w:rPr/>
        <w:fldChar w:fldCharType="end"/>
      </w:r>
      <w:r>
        <w:rPr/>
        <w:t xml:space="preserve">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 (форма 4; </w:t>
      </w:r>
      <w:hyperlink w:anchor="Прил04_ФормыЗаявки">
        <w:r>
          <w:rPr>
            <w:rStyle w:val="Style14"/>
          </w:rPr>
          <w:t>Приложение № 4</w:t>
        </w:r>
      </w:hyperlink>
      <w:r>
        <w:rPr/>
        <w:t>), в виде подробного предложения в отношении поставляемой продукции на условиях, указанных в Документации о закупке, в том числе в </w:t>
      </w:r>
      <w:hyperlink w:anchor="Прил01_ТехТребования">
        <w:r>
          <w:rPr>
            <w:rStyle w:val="Style14"/>
          </w:rPr>
          <w:t>Технических требованиях (Приложение № 1)</w:t>
        </w:r>
      </w:hyperlink>
      <w:r>
        <w:rPr/>
        <w:t>.</w:t>
      </w:r>
      <w:bookmarkEnd w:id="115"/>
    </w:p>
    <w:p>
      <w:pPr>
        <w:pStyle w:val="Style26"/>
        <w:rPr/>
      </w:pPr>
      <w:bookmarkStart w:id="116" w:name="_Ref164250625"/>
      <w:r>
        <w:rP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anchor="Прил01_ТехТребования">
        <w:r>
          <w:rPr>
            <w:rStyle w:val="Style14"/>
          </w:rPr>
          <w:t>Технических требованиях (Приложение № 1)</w:t>
        </w:r>
      </w:hyperlink>
      <w:r>
        <w:rPr/>
        <w:t>, в отношении всех показателей, которые в ней установлены. При этом должны указываться точные и не допускающие двусмысленного толкования показатели.</w:t>
      </w:r>
      <w:bookmarkEnd w:id="116"/>
    </w:p>
    <w:p>
      <w:pPr>
        <w:pStyle w:val="Style26"/>
        <w:rPr/>
      </w:pPr>
      <w:r>
        <w:rPr/>
        <w:t xml:space="preserve">Если в </w:t>
      </w:r>
      <w:hyperlink w:anchor="Прил01_ТехТребования">
        <w:r>
          <w:rPr>
            <w:rStyle w:val="Style14"/>
          </w:rPr>
          <w:t>Технических требованиях (Приложение № 1)</w:t>
        </w:r>
      </w:hyperlink>
      <w:r>
        <w:rP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продукцию, являющуюся эквивалентом требуемой, то он при описании продукции обязан подтвердить соответствие предлагаемой продукции показателям эквивалентности, установленным в </w:t>
      </w:r>
      <w:hyperlink w:anchor="Прил01_ТехТребования">
        <w:r>
          <w:rPr>
            <w:rStyle w:val="Style14"/>
          </w:rPr>
          <w:t>Технических требованиях (Приложение № 1)</w:t>
        </w:r>
      </w:hyperlink>
      <w:r>
        <w:rPr/>
        <w:t>.</w:t>
      </w:r>
    </w:p>
    <w:p>
      <w:pPr>
        <w:pStyle w:val="Style26"/>
        <w:rPr/>
      </w:pPr>
      <w:bookmarkStart w:id="117" w:name="_Ref130379876"/>
      <w:r>
        <w:rP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anchor="Прил01_ТехТребования">
        <w:r>
          <w:rPr>
            <w:rStyle w:val="Style14"/>
          </w:rPr>
          <w:t>Техническими требованиями (Приложение № 1)</w:t>
        </w:r>
      </w:hyperlink>
      <w:r>
        <w:rPr/>
        <w:t>.</w:t>
      </w:r>
      <w:bookmarkEnd w:id="117"/>
    </w:p>
    <w:p>
      <w:pPr>
        <w:pStyle w:val="Style26"/>
        <w:rPr/>
      </w:pPr>
      <w:bookmarkStart w:id="118" w:name="_Ref130455500"/>
      <w:r>
        <w:rPr/>
        <w:t>В случае нарушения Участником требований к описанию продукции (пункты </w:t>
      </w:r>
      <w:r>
        <w:rPr/>
        <w:fldChar w:fldCharType="begin"/>
      </w:r>
      <w:r>
        <w:rPr/>
        <w:instrText xml:space="preserve"> REF _Ref130379863 \r \h </w:instrText>
      </w:r>
      <w:r>
        <w:rPr/>
        <w:fldChar w:fldCharType="separate"/>
      </w:r>
      <w:r>
        <w:rPr/>
        <w:t>4.3.11</w:t>
      </w:r>
      <w:r>
        <w:rPr/>
        <w:fldChar w:fldCharType="end"/>
      </w:r>
      <w:r>
        <w:rPr/>
        <w:t xml:space="preserve"> – </w:t>
      </w:r>
      <w:r>
        <w:rPr/>
        <w:fldChar w:fldCharType="begin"/>
      </w:r>
      <w:r>
        <w:rPr/>
        <w:instrText xml:space="preserve"> REF _Ref130379876 \r \h </w:instrText>
      </w:r>
      <w:r>
        <w:rPr/>
        <w:fldChar w:fldCharType="separate"/>
      </w:r>
      <w:r>
        <w:rPr/>
        <w:t>4.3.14</w:t>
      </w:r>
      <w:r>
        <w:rPr/>
        <w:fldChar w:fldCharType="end"/>
      </w:r>
      <w:r>
        <w:rPr/>
        <w:t>) Организатор вправе отклонить заявку такого Участника от дальнейшего участия в закупке.</w:t>
      </w:r>
      <w:bookmarkEnd w:id="118"/>
    </w:p>
    <w:p>
      <w:pPr>
        <w:pStyle w:val="Style26"/>
        <w:rPr/>
      </w:pPr>
      <w:r>
        <w:rPr/>
        <w:t>При подготовке заявки необходимо также учитывать требования в отношении применения законодательства о национальном режиме (подраздел </w:t>
      </w:r>
      <w:r>
        <w:rPr/>
        <w:fldChar w:fldCharType="begin"/>
      </w:r>
      <w:r>
        <w:rPr/>
        <w:instrText xml:space="preserve"> REF _Ref125359973 \r \h </w:instrText>
      </w:r>
      <w:r>
        <w:rPr/>
        <w:fldChar w:fldCharType="separate"/>
      </w:r>
      <w:r>
        <w:rPr/>
        <w:t>1.2</w:t>
      </w:r>
      <w:r>
        <w:rPr/>
        <w:fldChar w:fldCharType="end"/>
      </w:r>
      <w:r>
        <w:rPr/>
        <w:t>).</w:t>
      </w:r>
    </w:p>
    <w:p>
      <w:pPr>
        <w:pStyle w:val="Style26"/>
        <w:keepNext w:val="true"/>
        <w:rPr/>
      </w:pPr>
      <w:r>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7"/>
        <w:rPr/>
      </w:pPr>
      <w:r>
        <w:rPr/>
        <w:t>внутренние противоречия между различными частями и (или) документами заявки, в том числе по тексту внутри одного документа;</w:t>
      </w:r>
    </w:p>
    <w:p>
      <w:pPr>
        <w:pStyle w:val="Style27"/>
        <w:rPr/>
      </w:pPr>
      <w:bookmarkStart w:id="119" w:name="_Ref125714384"/>
      <w:bookmarkStart w:id="120" w:name="_Ref125370398"/>
      <w:r>
        <w:rPr/>
        <w:t>противоречия между документами заявки и сведениями, указанными Участником в структурированных формах на ЭП.</w:t>
      </w:r>
      <w:bookmarkEnd w:id="119"/>
      <w:bookmarkEnd w:id="120"/>
    </w:p>
    <w:p>
      <w:pPr>
        <w:pStyle w:val="Style26"/>
        <w:rPr/>
      </w:pPr>
      <w:r>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7"/>
        <w:rPr/>
      </w:pPr>
      <w:r>
        <w:rPr/>
        <w:t>полномочий таких органов / лиц на оформление этих документов;</w:t>
      </w:r>
    </w:p>
    <w:p>
      <w:pPr>
        <w:pStyle w:val="Style27"/>
        <w:rPr/>
      </w:pPr>
      <w:r>
        <w:rPr/>
        <w:t>формы, объема и содержания этих документов.</w:t>
      </w:r>
    </w:p>
    <w:p>
      <w:pPr>
        <w:pStyle w:val="Style26"/>
        <w:keepNext w:val="true"/>
        <w:rPr/>
      </w:pPr>
      <w:r>
        <w:rPr/>
        <w:t>Участник должен подготовить заявку с соблюдением следующих условий:</w:t>
      </w:r>
    </w:p>
    <w:p>
      <w:pPr>
        <w:pStyle w:val="Style27"/>
        <w:rPr/>
      </w:pPr>
      <w:r>
        <w:rPr/>
        <w:t>документы заявки могут предоставляться как в графическом виде (в том числе в виде скан-копии; рекомендуемый формат: Portable Document Format (*.</w:t>
      </w:r>
      <w:r>
        <w:rPr>
          <w:lang w:val="en-US"/>
        </w:rPr>
        <w:t>pdf</w:t>
      </w:r>
      <w:r>
        <w:rPr/>
        <w:t>)), так и в электронном виде (в формате Microsoft Word (*.doc</w:t>
      </w:r>
      <w:r>
        <w:rPr>
          <w:lang w:val="en-US"/>
        </w:rPr>
        <w:t>x</w:t>
      </w:r>
      <w:r>
        <w:rPr/>
        <w:t>), Microsoft Excel (*.xls</w:t>
      </w:r>
      <w:r>
        <w:rPr>
          <w:lang w:val="en-US"/>
        </w:rPr>
        <w:t>x</w:t>
      </w:r>
      <w:r>
        <w:rPr/>
        <w:t>), и других). Исключение составляют Письмо о подаче оферты, а также документы, выданные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только в графическом виде (в том числе в виде скан-копии; рекомендуемый формат: Portable Document Format (*.</w:t>
      </w:r>
      <w:r>
        <w:rPr>
          <w:lang w:val="en-US"/>
        </w:rPr>
        <w:t>pdf</w:t>
      </w:r>
      <w:r>
        <w:rPr/>
        <w:t>));</w:t>
      </w:r>
    </w:p>
    <w:p>
      <w:pPr>
        <w:pStyle w:val="Style27"/>
        <w:rPr/>
      </w:pPr>
      <w:r>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7"/>
        <w:rPr/>
      </w:pPr>
      <w:r>
        <w:rPr/>
        <w:t>все файлы не должны иметь защиты от их открытия, изменения, копирования их содержимого или их печати;</w:t>
      </w:r>
    </w:p>
    <w:p>
      <w:pPr>
        <w:pStyle w:val="Style27"/>
        <w:rPr/>
      </w:pPr>
      <w:r>
        <w:rPr/>
        <w:t>файлы электронной заявки рекомендуется именовать так, чтобы было можно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7"/>
        <w:rPr/>
      </w:pPr>
      <w:r>
        <w:rPr/>
        <w:t>если какой-либо документ представлен в нечитаемом виде, данный документ считается непредставленным.</w:t>
      </w:r>
    </w:p>
    <w:p>
      <w:pPr>
        <w:pStyle w:val="Style26"/>
        <w:rPr/>
      </w:pPr>
      <w:r>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5"/>
        <w:rPr/>
      </w:pPr>
      <w:bookmarkStart w:id="121" w:name="_Ref125366672"/>
      <w:bookmarkStart w:id="122" w:name="_Ref125362071"/>
      <w:bookmarkStart w:id="123" w:name="_Ref125361260"/>
      <w:bookmarkStart w:id="124" w:name="_Toc228976011"/>
      <w:bookmarkStart w:id="125" w:name="_Ref130394802"/>
      <w:bookmarkStart w:id="126" w:name="_Ref130394785"/>
      <w:bookmarkStart w:id="127" w:name="_Ref130394205"/>
      <w:r>
        <w:rPr/>
        <w:t>Разъяснение Документации о закупке</w:t>
      </w:r>
      <w:bookmarkEnd w:id="121"/>
      <w:bookmarkEnd w:id="122"/>
      <w:bookmarkEnd w:id="123"/>
      <w:bookmarkEnd w:id="124"/>
      <w:bookmarkEnd w:id="125"/>
      <w:bookmarkEnd w:id="126"/>
      <w:bookmarkEnd w:id="127"/>
    </w:p>
    <w:p>
      <w:pPr>
        <w:pStyle w:val="Style26"/>
        <w:rPr/>
      </w:pPr>
      <w:r>
        <w:rPr/>
        <w:t>Участники вправе обратиться к Организатору за разъяснениями Документации о закупке.</w:t>
      </w:r>
    </w:p>
    <w:p>
      <w:pPr>
        <w:pStyle w:val="Style26"/>
        <w:rPr/>
      </w:pPr>
      <w:r>
        <w:rPr/>
        <w:t>Запросы подаются в соответствии с Регламентами и инструкциями Оператора ЭП, опубликованными на сайте соответствующей ЭП.</w:t>
      </w:r>
    </w:p>
    <w:p>
      <w:pPr>
        <w:pStyle w:val="Style26"/>
        <w:rPr/>
      </w:pPr>
      <w:r>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6"/>
        <w:rPr/>
      </w:pPr>
      <w:r>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fldChar w:fldCharType="begin"/>
      </w:r>
      <w:r>
        <w:rPr/>
        <w:instrText xml:space="preserve"> REF _Ref125359973 \r \h </w:instrText>
      </w:r>
      <w:r>
        <w:rPr/>
        <w:fldChar w:fldCharType="separate"/>
      </w:r>
      <w:r>
        <w:rPr/>
        <w:t>1.2</w:t>
      </w:r>
      <w:r>
        <w:rPr/>
        <w:fldChar w:fldCharType="end"/>
      </w:r>
      <w:r>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6"/>
        <w:rPr/>
      </w:pPr>
      <w:r>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6"/>
        <w:rPr/>
      </w:pPr>
      <w:r>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14"/>
          </w:rPr>
          <w:t>Проекта договора (Приложения № 2)</w:t>
        </w:r>
      </w:hyperlink>
      <w:r>
        <w:rPr>
          <w:rStyle w:val="Style14"/>
        </w:rPr>
        <w:t>,</w:t>
      </w:r>
      <w:r>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6"/>
        <w:rPr/>
      </w:pPr>
      <w:r>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5"/>
        <w:rPr/>
      </w:pPr>
      <w:bookmarkStart w:id="128" w:name="_Toc228976012"/>
      <w:bookmarkStart w:id="129" w:name="_Ref125364404"/>
      <w:bookmarkStart w:id="130" w:name="_Ref125363891"/>
      <w:bookmarkStart w:id="131" w:name="_Ref125362076"/>
      <w:r>
        <w:rPr/>
        <w:t>Изменения Извещения и (или) Документации о закупке</w:t>
      </w:r>
      <w:bookmarkEnd w:id="128"/>
      <w:bookmarkEnd w:id="129"/>
      <w:bookmarkEnd w:id="130"/>
      <w:bookmarkEnd w:id="131"/>
    </w:p>
    <w:p>
      <w:pPr>
        <w:pStyle w:val="Style26"/>
        <w:rPr/>
      </w:pPr>
      <w:r>
        <w:rPr/>
        <w:t>Организатор в любой момент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6"/>
        <w:rPr/>
      </w:pPr>
      <w:bookmarkStart w:id="132" w:name="_Ref125550844"/>
      <w:r>
        <w:rPr/>
        <w:t>После окончания срока подачи заявок допускается изменение только в части установленных Документацией о закупке дат (и если необходимо времени) рассмотрения заявок, проведения аукциона и подведения итогов закупки (подраздел </w:t>
      </w:r>
      <w:r>
        <w:rPr/>
        <w:fldChar w:fldCharType="begin"/>
      </w:r>
      <w:r>
        <w:rPr/>
        <w:instrText xml:space="preserve"> REF _Ref125359973 \r \h </w:instrText>
      </w:r>
      <w:r>
        <w:rPr/>
        <w:fldChar w:fldCharType="separate"/>
      </w:r>
      <w:r>
        <w:rPr/>
        <w:t>1.2</w:t>
      </w:r>
      <w:r>
        <w:rPr/>
        <w:fldChar w:fldCharType="end"/>
      </w:r>
      <w:r>
        <w:rPr/>
        <w:t>) в пределах срока действия заявок и с уведомлением Участников, подавших заявки.</w:t>
      </w:r>
      <w:bookmarkEnd w:id="132"/>
    </w:p>
    <w:p>
      <w:pPr>
        <w:pStyle w:val="Style26"/>
        <w:rPr/>
      </w:pPr>
      <w:r>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6"/>
        <w:rPr/>
      </w:pPr>
      <w:bookmarkStart w:id="133" w:name="_Hlk135643673"/>
      <w:r>
        <w:rPr/>
        <w:t>При внесении изменений в Документацию о закупке (за исключением указанного в пункте </w:t>
      </w:r>
      <w:r>
        <w:rPr/>
        <w:fldChar w:fldCharType="begin"/>
      </w:r>
      <w:r>
        <w:rPr/>
        <w:instrText xml:space="preserve"> REF _Ref125550844 \r \h </w:instrText>
      </w:r>
      <w:r>
        <w:rPr/>
        <w:fldChar w:fldCharType="separate"/>
      </w:r>
      <w:r>
        <w:rPr/>
        <w:t>4.5.2</w:t>
      </w:r>
      <w:r>
        <w:rPr/>
        <w:fldChar w:fldCharType="end"/>
      </w:r>
      <w:r>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 не менее</w:t>
      </w:r>
      <w:bookmarkEnd w:id="133"/>
      <w:r>
        <w:rPr/>
        <w:t xml:space="preserve"> 8 (восьми) календарных дней.</w:t>
      </w:r>
    </w:p>
    <w:p>
      <w:pPr>
        <w:pStyle w:val="Style26"/>
        <w:rPr/>
      </w:pPr>
      <w:r>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5"/>
        <w:rPr/>
      </w:pPr>
      <w:bookmarkStart w:id="134" w:name="_Toc228976013"/>
      <w:bookmarkStart w:id="135" w:name="_Ref125362119"/>
      <w:r>
        <w:rPr/>
        <w:t>Подача заявок и их прием</w:t>
      </w:r>
      <w:bookmarkEnd w:id="134"/>
      <w:bookmarkEnd w:id="135"/>
    </w:p>
    <w:p>
      <w:pPr>
        <w:pStyle w:val="Style26"/>
        <w:rPr/>
      </w:pPr>
      <w:r>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Заявки, поданные позднее установленного срока, не могут быть приняты Организатором, независимо от причин опоздания.</w:t>
      </w:r>
    </w:p>
    <w:p>
      <w:pPr>
        <w:pStyle w:val="Style26"/>
        <w:rPr/>
      </w:pPr>
      <w:r>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6"/>
        <w:rPr/>
      </w:pPr>
      <w:r>
        <w:rPr/>
        <w:t>При подаче заявки Участник обязан в Письме о подаче оферты (форма 2) (</w:t>
      </w:r>
      <w:hyperlink w:anchor="Прил04_ФормыЗаявки">
        <w:r>
          <w:rPr>
            <w:rStyle w:val="Style14"/>
          </w:rPr>
          <w:t>Приложение № 4</w:t>
        </w:r>
      </w:hyperlink>
      <w:r>
        <w:rPr/>
        <w:t>) указать (заполнить соответствующее поле на ЭП) стоимость заявки (цену Договора), являющиеся его первой ценовой ставкой в рамках проведения аукциона. Дальнейшая подача ценовых ставок в ходе проведения аукциона будет возможна только путем снижения Участником его первоначальной ценовой ставки, указанной в заявке.</w:t>
      </w:r>
    </w:p>
    <w:p>
      <w:pPr>
        <w:pStyle w:val="Style26"/>
        <w:rPr/>
      </w:pPr>
      <w:r>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6"/>
        <w:rPr/>
      </w:pPr>
      <w:r>
        <w:rPr/>
        <w:t>Заявка должна быть подписана усиленной квалифицированной электронной подписью лица, которое является уполномоченным представителем Участника.</w:t>
      </w:r>
    </w:p>
    <w:p>
      <w:pPr>
        <w:pStyle w:val="Style26"/>
        <w:rPr/>
      </w:pPr>
      <w:r>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6"/>
        <w:rPr/>
      </w:pPr>
      <w:r>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6"/>
        <w:rPr/>
      </w:pPr>
      <w:r>
        <w:rPr/>
        <w:t>Оператор ЭП до окончания срока подачи заявок обеспечивает конфиденциальность информации, содержащейся в поданных заявках.</w:t>
      </w:r>
    </w:p>
    <w:p>
      <w:pPr>
        <w:pStyle w:val="Style25"/>
        <w:rPr/>
      </w:pPr>
      <w:bookmarkStart w:id="136" w:name="_Toc228976014"/>
      <w:bookmarkStart w:id="137" w:name="_Ref125365136"/>
      <w:bookmarkStart w:id="138" w:name="_Ref125363819"/>
      <w:bookmarkStart w:id="139" w:name="_Ref125362192"/>
      <w:bookmarkStart w:id="140" w:name="_Ref125362130"/>
      <w:r>
        <w:rPr/>
        <w:t>Изменение и отзыв заявок</w:t>
      </w:r>
      <w:bookmarkEnd w:id="136"/>
      <w:bookmarkEnd w:id="137"/>
      <w:bookmarkEnd w:id="138"/>
      <w:bookmarkEnd w:id="139"/>
      <w:bookmarkEnd w:id="140"/>
    </w:p>
    <w:p>
      <w:pPr>
        <w:pStyle w:val="Style26"/>
        <w:rPr/>
      </w:pPr>
      <w:r>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6"/>
        <w:rPr/>
      </w:pPr>
      <w:r>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6"/>
        <w:rPr/>
      </w:pPr>
      <w:r>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fldChar w:fldCharType="begin"/>
      </w:r>
      <w:r>
        <w:rPr/>
        <w:instrText xml:space="preserve"> REF _Ref125362119 \w \h </w:instrText>
      </w:r>
      <w:r>
        <w:rPr/>
        <w:fldChar w:fldCharType="separate"/>
      </w:r>
      <w:r>
        <w:rPr/>
        <w:t>4.6</w:t>
      </w:r>
      <w:r>
        <w:rPr/>
        <w:fldChar w:fldCharType="end"/>
      </w:r>
      <w:r>
        <w:rPr/>
        <w:t>.</w:t>
      </w:r>
    </w:p>
    <w:p>
      <w:pPr>
        <w:pStyle w:val="Style26"/>
        <w:rPr/>
      </w:pPr>
      <w:r>
        <w:rPr/>
        <w:t>Изменения и отзыв заявки осуществляется посредством функционала ЭП (подробный порядок определяется Регламентом ЭП).</w:t>
      </w:r>
    </w:p>
    <w:p>
      <w:pPr>
        <w:pStyle w:val="Style25"/>
        <w:rPr/>
      </w:pPr>
      <w:bookmarkStart w:id="141" w:name="_Toc228976015"/>
      <w:bookmarkStart w:id="142" w:name="_Ref130221619"/>
      <w:bookmarkStart w:id="143" w:name="_Ref125364340"/>
      <w:bookmarkEnd w:id="143"/>
      <w:r>
        <w:rPr/>
        <w:t>Открытие доступа к заявкам</w:t>
      </w:r>
      <w:bookmarkEnd w:id="141"/>
      <w:bookmarkEnd w:id="142"/>
    </w:p>
    <w:p>
      <w:pPr>
        <w:pStyle w:val="Style26"/>
        <w:rPr/>
      </w:pPr>
      <w:r>
        <w:rPr/>
        <w:t>Открытие доступа к заявкам («вскрытие»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6"/>
        <w:rPr/>
      </w:pPr>
      <w:r>
        <w:rPr/>
        <w:t>Оператор ЭП предоставляет Организатору доступ одновременно ко всем поданным заявкам в полном объеме.</w:t>
      </w:r>
    </w:p>
    <w:p>
      <w:pPr>
        <w:pStyle w:val="Style26"/>
        <w:rPr/>
      </w:pPr>
      <w:r>
        <w:rPr/>
        <w:t>Порядок получения Участниками информации о поступивших заявках через ЭП определяется Регламентом ЭП.</w:t>
      </w:r>
    </w:p>
    <w:p>
      <w:pPr>
        <w:pStyle w:val="Style25"/>
        <w:rPr/>
      </w:pPr>
      <w:bookmarkStart w:id="144" w:name="_Toc228976016"/>
      <w:bookmarkStart w:id="145" w:name="_Ref135749133"/>
      <w:bookmarkStart w:id="146" w:name="_Ref125366689"/>
      <w:bookmarkStart w:id="147" w:name="_Ref125362364"/>
      <w:bookmarkStart w:id="148" w:name="_Ref125364340_Копия_1"/>
      <w:bookmarkEnd w:id="148"/>
      <w:r>
        <w:rPr/>
        <w:t>Рассмотрение заявок (отборочная стадия)</w:t>
      </w:r>
      <w:bookmarkEnd w:id="146"/>
      <w:bookmarkEnd w:id="147"/>
      <w:r>
        <w:rPr/>
        <w:t>, в том числе (при необходимости) проведение аккредитации</w:t>
      </w:r>
      <w:bookmarkEnd w:id="144"/>
      <w:bookmarkEnd w:id="145"/>
    </w:p>
    <w:p>
      <w:pPr>
        <w:pStyle w:val="Style26"/>
        <w:rPr/>
      </w:pPr>
      <w:r>
        <w:rPr/>
        <w:t>Дата окончания срока рассмотрения заявок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6"/>
        <w:rPr/>
      </w:pPr>
      <w:r>
        <w:rPr/>
        <w:t xml:space="preserve">В рамках рассмотрения заявок (отборочной стадии) осуществляется проверка каждой заявки на предмет соответствия </w:t>
      </w:r>
      <w:hyperlink w:anchor="Прил07_ОтборочныеКритерии">
        <w:r>
          <w:rPr>
            <w:rStyle w:val="Style14"/>
          </w:rPr>
          <w:t>Отборочным критериям рассмотрения заявок (Приложение № 7)</w:t>
        </w:r>
      </w:hyperlink>
      <w:r>
        <w:rPr/>
        <w:t>, в том числе проводится процедура аккредитации Участников (при необходимости).</w:t>
      </w:r>
    </w:p>
    <w:p>
      <w:pPr>
        <w:pStyle w:val="Style26"/>
        <w:rPr/>
      </w:pPr>
      <w:r>
        <w:rPr/>
        <w:t>Рассмотрение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6"/>
        <w:keepNext w:val="true"/>
        <w:rPr/>
      </w:pPr>
      <w:bookmarkStart w:id="149" w:name="_Ref224833799"/>
      <w:r>
        <w:rPr/>
        <w:t>При выявлении в рамках рассмотрения заявок наличия арифметических ошибок, в том числе:</w:t>
      </w:r>
      <w:bookmarkEnd w:id="149"/>
    </w:p>
    <w:p>
      <w:pPr>
        <w:pStyle w:val="Style27"/>
        <w:rPr/>
      </w:pPr>
      <w:r>
        <w:rPr/>
        <w:t>в результате суммирования единичных расценок;</w:t>
      </w:r>
    </w:p>
    <w:p>
      <w:pPr>
        <w:pStyle w:val="Style27"/>
        <w:rPr/>
      </w:pPr>
      <w:r>
        <w:rPr/>
        <w:t>в итогах умножения единичных расценок на объем продукции;</w:t>
      </w:r>
    </w:p>
    <w:p>
      <w:pPr>
        <w:pStyle w:val="Style27"/>
        <w:rPr/>
      </w:pPr>
      <w:r>
        <w:rPr/>
        <w:t>в вычислении суммы НДС и итоговой стоимости заявки с учетом НДС;</w:t>
      </w:r>
    </w:p>
    <w:p>
      <w:pPr>
        <w:pStyle w:val="Style27"/>
        <w:rPr/>
      </w:pPr>
      <w:r>
        <w:rPr/>
        <w:t>иных внутренних противоречий в составе заявки,</w:t>
      </w:r>
    </w:p>
    <w:p>
      <w:pPr>
        <w:pStyle w:val="Style30"/>
        <w:ind w:left="1134" w:hanging="0"/>
        <w:rPr/>
      </w:pPr>
      <w:r>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6"/>
        <w:keepNext w:val="true"/>
        <w:rPr/>
      </w:pPr>
      <w:bookmarkStart w:id="150" w:name="_Ref125551456"/>
      <w:r>
        <w:rPr/>
        <w:t>По результатам рассмотрения заявок (проведения отборочной стадии) Закупочная комиссия отклоняет заявки по следующим основаниям:</w:t>
      </w:r>
      <w:bookmarkEnd w:id="150"/>
    </w:p>
    <w:p>
      <w:pPr>
        <w:pStyle w:val="Style27"/>
        <w:rPr/>
      </w:pPr>
      <w:r>
        <w:rPr/>
        <w:t>несоответствие по составу, содержанию и соблюдению требований Документации о закупке к подготовке (оформлению) заявки, в том числе наличие:</w:t>
      </w:r>
    </w:p>
    <w:p>
      <w:pPr>
        <w:pStyle w:val="Style28"/>
        <w:rPr/>
      </w:pPr>
      <w:r>
        <w:rPr/>
        <w:t>недостоверных сведений</w:t>
      </w:r>
      <w:r>
        <w:rPr>
          <w:rStyle w:val="FootnoteReference"/>
        </w:rPr>
        <w:footnoteReference w:id="5"/>
      </w:r>
      <w:r>
        <w:rPr/>
        <w:t xml:space="preserve"> или намеренно искаженной информации или документов;</w:t>
      </w:r>
    </w:p>
    <w:p>
      <w:pPr>
        <w:pStyle w:val="Style28"/>
        <w:rPr/>
      </w:pPr>
      <w:r>
        <w:rPr/>
        <w:t xml:space="preserve">внутренних противоречий между различными частями и (или) документами заявки, в том числе по тексту внутри одного документа (за исключением ошибок, предусмотренных пунктом </w:t>
      </w:r>
      <w:r>
        <w:rPr/>
        <w:fldChar w:fldCharType="begin"/>
      </w:r>
      <w:r>
        <w:rPr/>
        <w:instrText xml:space="preserve"> REF _Ref224833799 \r \h </w:instrText>
      </w:r>
      <w:r>
        <w:rPr/>
        <w:fldChar w:fldCharType="separate"/>
      </w:r>
      <w:r>
        <w:rPr/>
        <w:t>4.9.4</w:t>
      </w:r>
      <w:r>
        <w:rPr/>
        <w:fldChar w:fldCharType="end"/>
      </w:r>
      <w:r>
        <w:rPr/>
        <w:t>);</w:t>
      </w:r>
    </w:p>
    <w:p>
      <w:pPr>
        <w:pStyle w:val="Style27"/>
        <w:rPr/>
      </w:pPr>
      <w:r>
        <w:rPr/>
        <w:t>несоответствие Участников требованиям Документации о закупке;</w:t>
      </w:r>
    </w:p>
    <w:p>
      <w:pPr>
        <w:pStyle w:val="Style27"/>
        <w:rPr/>
      </w:pPr>
      <w:r>
        <w:rPr/>
        <w:t>несоответствие привлекаемых субподрядчиков (соисполнителей) требованиям Документации о закупке;</w:t>
      </w:r>
    </w:p>
    <w:p>
      <w:pPr>
        <w:pStyle w:val="Style27"/>
        <w:rPr/>
      </w:pPr>
      <w:r>
        <w:rPr/>
        <w:t>несоответствие предлагаемой продукции требованиям Документации о закупке, в том числе порядка описания такой продукции;</w:t>
      </w:r>
    </w:p>
    <w:p>
      <w:pPr>
        <w:pStyle w:val="Style27"/>
        <w:rPr/>
      </w:pPr>
      <w:r>
        <w:rPr/>
        <w:t>несоответствие предлагаемых договорных условий требованиям Документации о закупке, в том числе превышение стоимости заявки (цены Договора) – первой ценовой ставки, над установленным размером НМЦ;</w:t>
      </w:r>
    </w:p>
    <w:p>
      <w:pPr>
        <w:pStyle w:val="Style27"/>
        <w:rPr/>
      </w:pPr>
      <w:r>
        <w:rPr/>
        <w:t>несоответствие размера, формы, условий и порядка предоставления обеспечения заявки.</w:t>
      </w:r>
    </w:p>
    <w:p>
      <w:pPr>
        <w:pStyle w:val="Style26"/>
        <w:keepNext w:val="true"/>
        <w:rPr/>
      </w:pPr>
      <w:r>
        <w:rPr/>
        <w:t>Решение Закупочной комиссии по рассмотрению заявок оформляется протоколом, в котором, как минимум, указываются</w:t>
      </w:r>
      <w:r>
        <w:rPr>
          <w:rStyle w:val="FootnoteReference"/>
        </w:rPr>
        <w:footnoteReference w:id="6"/>
      </w:r>
      <w:r>
        <w:rPr/>
        <w:t>:</w:t>
      </w:r>
    </w:p>
    <w:p>
      <w:pPr>
        <w:pStyle w:val="Style27"/>
        <w:rPr/>
      </w:pPr>
      <w:r>
        <w:rPr/>
        <w:t>дата подписания протокола;</w:t>
      </w:r>
    </w:p>
    <w:p>
      <w:pPr>
        <w:pStyle w:val="Style27"/>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7"/>
        <w:rPr/>
      </w:pPr>
      <w:r>
        <w:rPr/>
        <w:t>идентификационные номера Участников, присваиваемые Оператором ЭП;</w:t>
      </w:r>
    </w:p>
    <w:p>
      <w:pPr>
        <w:pStyle w:val="Style27"/>
        <w:keepNext w:val="true"/>
        <w:rPr/>
      </w:pPr>
      <w:r>
        <w:rPr/>
        <w:t>результаты рассмотрения заявок с указанием, в том числе:</w:t>
      </w:r>
    </w:p>
    <w:p>
      <w:pPr>
        <w:pStyle w:val="Style28"/>
        <w:rPr/>
      </w:pPr>
      <w:r>
        <w:rPr/>
        <w:t>количества заявок, которые были отклонены;</w:t>
      </w:r>
    </w:p>
    <w:p>
      <w:pPr>
        <w:pStyle w:val="Style28"/>
        <w:rPr/>
      </w:pPr>
      <w:r>
        <w:rPr/>
        <w:t>оснований отклонения каждой заявки с указанием положений Документации о закупке, которым не соответствует такая заявка;</w:t>
      </w:r>
    </w:p>
    <w:p>
      <w:pPr>
        <w:pStyle w:val="Style27"/>
        <w:rPr/>
      </w:pPr>
      <w:r>
        <w:rPr/>
        <w:t>причины, по которым закупка признана несостоявшейся в соответствии с подразделом </w:t>
      </w:r>
      <w:r>
        <w:rPr/>
        <w:fldChar w:fldCharType="begin"/>
      </w:r>
      <w:r>
        <w:rPr/>
        <w:instrText xml:space="preserve"> REF _Ref186215888 \r \h </w:instrText>
      </w:r>
      <w:r>
        <w:rPr/>
        <w:fldChar w:fldCharType="separate"/>
      </w:r>
      <w:r>
        <w:rPr/>
        <w:t>4.15</w:t>
      </w:r>
      <w:r>
        <w:rPr/>
        <w:fldChar w:fldCharType="end"/>
      </w:r>
      <w:r>
        <w:rPr/>
        <w:t xml:space="preserve"> (в случае ее признания таковой);</w:t>
      </w:r>
    </w:p>
    <w:p>
      <w:pPr>
        <w:pStyle w:val="Style27"/>
        <w:rPr/>
      </w:pPr>
      <w:bookmarkStart w:id="151" w:name="_Ref125551524"/>
      <w:r>
        <w:rPr/>
        <w:t>решение о проведении или непроведении переторжки,</w:t>
      </w:r>
      <w:bookmarkEnd w:id="151"/>
    </w:p>
    <w:p>
      <w:pPr>
        <w:pStyle w:val="Style30"/>
        <w:ind w:left="1134" w:hanging="0"/>
        <w:rPr/>
      </w:pPr>
      <w:r>
        <w:rPr/>
        <w:t>после чего Организатор официально размещает его в течение 3 (трех) календарных дней с даты подписания такого протокола, но в любом случае до начала проведения аукциона.</w:t>
      </w:r>
    </w:p>
    <w:p>
      <w:pPr>
        <w:pStyle w:val="Style26"/>
        <w:rPr/>
      </w:pPr>
      <w:r>
        <w:rPr/>
        <w:t>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своей заявки в порядке, аналогичном порядку направления запросов на разъяснение Документации о закупке (подраздел </w:t>
      </w:r>
      <w:r>
        <w:rPr/>
        <w:fldChar w:fldCharType="begin"/>
      </w:r>
      <w:r>
        <w:rPr/>
        <w:instrText xml:space="preserve"> REF _Ref130394785 \r \h </w:instrText>
      </w:r>
      <w:r>
        <w:rPr/>
        <w:fldChar w:fldCharType="separate"/>
      </w:r>
      <w:r>
        <w:rPr/>
        <w:t>4.4</w:t>
      </w:r>
      <w:r>
        <w:rPr/>
        <w:fldChar w:fldCharType="end"/>
      </w:r>
      <w:r>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pPr>
        <w:pStyle w:val="Style26"/>
        <w:rPr/>
      </w:pPr>
      <w:r>
        <w:rPr/>
        <w:t>Если рассмотрение заявок и подведение итогов закупки осуществляются одновременно, отдельный протокол по результатам рассмотрения заявок может не оформляться, а соответствующая информация подлежит обязательному включению в итоговый протокол по результатам закупки.</w:t>
      </w:r>
    </w:p>
    <w:p>
      <w:pPr>
        <w:pStyle w:val="Style26"/>
        <w:rPr/>
      </w:pPr>
      <w:r>
        <w:rPr/>
        <w:t>Если основания для отклонения заявки, указанные в пункте </w:t>
      </w:r>
      <w:r>
        <w:rPr/>
        <w:fldChar w:fldCharType="begin"/>
      </w:r>
      <w:r>
        <w:rPr/>
        <w:instrText xml:space="preserve"> REF _Ref125551456 \w \h </w:instrText>
      </w:r>
      <w:r>
        <w:rPr/>
        <w:fldChar w:fldCharType="separate"/>
      </w:r>
      <w:r>
        <w:rPr/>
        <w:t>4.9.5</w:t>
      </w:r>
      <w:r>
        <w:rPr/>
        <w:fldChar w:fldCharType="end"/>
      </w:r>
      <w:r>
        <w:rPr/>
        <w:t>,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 закупки.</w:t>
      </w:r>
    </w:p>
    <w:p>
      <w:pPr>
        <w:pStyle w:val="Style25"/>
        <w:rPr/>
      </w:pPr>
      <w:bookmarkStart w:id="152" w:name="_Toc228976017"/>
      <w:bookmarkStart w:id="153" w:name="_Ref125362610"/>
      <w:bookmarkStart w:id="154" w:name="_Ref125362464"/>
      <w:bookmarkStart w:id="155" w:name="_Ref125362425"/>
      <w:bookmarkStart w:id="156" w:name="_Ref125362381"/>
      <w:r>
        <w:rPr/>
        <w:t>Дополнительные запросы разъяснений заявок</w:t>
      </w:r>
      <w:bookmarkEnd w:id="152"/>
      <w:bookmarkEnd w:id="153"/>
      <w:bookmarkEnd w:id="154"/>
      <w:bookmarkEnd w:id="155"/>
      <w:bookmarkEnd w:id="156"/>
    </w:p>
    <w:p>
      <w:pPr>
        <w:pStyle w:val="Style26"/>
        <w:rPr/>
      </w:pPr>
      <w:bookmarkStart w:id="157" w:name="_Ref125365611"/>
      <w:r>
        <w:rPr/>
        <w:t>В рамках процедуры рассмотрения заявок Организатор вправе направить в адрес Участника дополнительный запрос разъяснений и (или) дополнений его заявки, влияющих на отклонение, в следующих случаях:</w:t>
      </w:r>
      <w:bookmarkEnd w:id="157"/>
    </w:p>
    <w:p>
      <w:pPr>
        <w:pStyle w:val="Style27"/>
        <w:keepNext w:val="true"/>
        <w:rPr/>
      </w:pPr>
      <w:r>
        <w:rPr/>
        <w:t>в составе заявки отсутствуют, представлены не в полном объеме или в нечитаемом виде документы или сведения, необходимые для определения:</w:t>
      </w:r>
    </w:p>
    <w:p>
      <w:pPr>
        <w:pStyle w:val="Style28"/>
        <w:rPr/>
      </w:pPr>
      <w:r>
        <w:rPr/>
        <w:t>соответствия Участника требованиям Документации о закупке;</w:t>
      </w:r>
    </w:p>
    <w:p>
      <w:pPr>
        <w:pStyle w:val="Style28"/>
        <w:rPr/>
      </w:pPr>
      <w:r>
        <w:rPr/>
        <w:t>наличия соответствующих полномочий на подписание заявки от имени Участника у лица, подписавшего заявку;</w:t>
      </w:r>
    </w:p>
    <w:p>
      <w:pPr>
        <w:pStyle w:val="Style28"/>
        <w:rPr/>
      </w:pPr>
      <w:r>
        <w:rPr/>
        <w:t>соответствия заявки требованиям Документации о закупке в части характеристик предлагаемой продукции, страны происхождения товара и (или) страны регистрации Участника (в целях исполнения требований законодательства о национальном режиме (подраздел </w:t>
      </w:r>
      <w:r>
        <w:rPr/>
        <w:fldChar w:fldCharType="begin"/>
      </w:r>
      <w:r>
        <w:rPr/>
        <w:instrText xml:space="preserve"> REF _Ref186216127 \r \h </w:instrText>
      </w:r>
      <w:r>
        <w:rPr/>
        <w:fldChar w:fldCharType="separate"/>
      </w:r>
      <w:r>
        <w:rPr/>
        <w:t>4.13</w:t>
      </w:r>
      <w:r>
        <w:rPr/>
        <w:fldChar w:fldCharType="end"/>
      </w:r>
      <w:r>
        <w:rPr/>
        <w:t>)),  договорных условий и расчета цены Договора;</w:t>
      </w:r>
    </w:p>
    <w:p>
      <w:pPr>
        <w:pStyle w:val="Style27"/>
        <w:rPr/>
      </w:pPr>
      <w:bookmarkStart w:id="158" w:name="_Ref134702259"/>
      <w:r>
        <w:rPr/>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pPr>
        <w:pStyle w:val="Style27"/>
        <w:rPr/>
      </w:pPr>
      <w:r>
        <w:rPr/>
        <w:t>в заявке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rPr>
        <w:footnoteReference w:id="7"/>
      </w:r>
      <w:r>
        <w:rPr/>
        <w:t>) требованиям Документации о закупке.</w:t>
      </w:r>
      <w:bookmarkEnd w:id="158"/>
    </w:p>
    <w:p>
      <w:pPr>
        <w:pStyle w:val="Style26"/>
        <w:rPr/>
      </w:pPr>
      <w:r>
        <w:rP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fldChar w:fldCharType="begin"/>
      </w:r>
      <w:r>
        <w:rPr/>
        <w:instrText xml:space="preserve"> REF _Ref134702259 \r \h </w:instrText>
      </w:r>
      <w:r>
        <w:rPr/>
        <w:fldChar w:fldCharType="separate"/>
      </w:r>
      <w:r>
        <w:rPr/>
        <w:t>4.10.1б)</w:t>
      </w:r>
      <w:r>
        <w:rPr/>
        <w:fldChar w:fldCharType="end"/>
      </w:r>
      <w:r>
        <w:rPr/>
        <w:t>).</w:t>
      </w:r>
    </w:p>
    <w:p>
      <w:pPr>
        <w:pStyle w:val="Style26"/>
        <w:rPr/>
      </w:pPr>
      <w:r>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6"/>
        <w:rPr/>
      </w:pPr>
      <w:r>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6"/>
        <w:rPr/>
      </w:pPr>
      <w:r>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пунктом </w:t>
      </w:r>
      <w:r>
        <w:rPr/>
        <w:fldChar w:fldCharType="begin"/>
      </w:r>
      <w:r>
        <w:rPr/>
        <w:instrText xml:space="preserve"> REF _Ref125551456 \w \h </w:instrText>
      </w:r>
      <w:r>
        <w:rPr/>
        <w:fldChar w:fldCharType="separate"/>
      </w:r>
      <w:r>
        <w:rPr/>
        <w:t>4.9.5</w:t>
      </w:r>
      <w:r>
        <w:rPr/>
        <w:fldChar w:fldCharType="end"/>
      </w:r>
      <w:r>
        <w:rPr/>
        <w:t xml:space="preserve"> имеются прямые основания для отклонения заявки такого Участника, не относящиеся к случаям, перечисленным в пункте </w:t>
      </w:r>
      <w:r>
        <w:rPr/>
        <w:fldChar w:fldCharType="begin"/>
      </w:r>
      <w:r>
        <w:rPr/>
        <w:instrText xml:space="preserve"> REF _Ref125365611 \w \h </w:instrText>
      </w:r>
      <w:r>
        <w:rPr/>
        <w:fldChar w:fldCharType="separate"/>
      </w:r>
      <w:r>
        <w:rPr/>
        <w:t>4.10.1</w:t>
      </w:r>
      <w:r>
        <w:rPr/>
        <w:fldChar w:fldCharType="end"/>
      </w:r>
      <w:r>
        <w:rPr/>
        <w:t>.</w:t>
      </w:r>
    </w:p>
    <w:p>
      <w:pPr>
        <w:pStyle w:val="Style26"/>
        <w:rPr/>
      </w:pPr>
      <w:r>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6"/>
        <w:rPr/>
      </w:pPr>
      <w:r>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6"/>
        <w:rPr/>
      </w:pPr>
      <w:r>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пункта </w:t>
      </w:r>
      <w:r>
        <w:rPr/>
        <w:fldChar w:fldCharType="begin"/>
      </w:r>
      <w:r>
        <w:rPr/>
        <w:instrText xml:space="preserve"> REF _Ref125551456 \w \h </w:instrText>
      </w:r>
      <w:r>
        <w:rPr/>
        <w:fldChar w:fldCharType="separate"/>
      </w:r>
      <w:r>
        <w:rPr/>
        <w:t>4.9.5</w:t>
      </w:r>
      <w:r>
        <w:rPr/>
        <w:fldChar w:fldCharType="end"/>
      </w:r>
      <w:r>
        <w:rPr/>
        <w:t>.</w:t>
      </w:r>
    </w:p>
    <w:p>
      <w:pPr>
        <w:pStyle w:val="Style25"/>
        <w:rPr/>
      </w:pPr>
      <w:bookmarkStart w:id="159" w:name="_Toc228976018"/>
      <w:bookmarkStart w:id="160" w:name="_Ref149223728"/>
      <w:r>
        <w:rPr/>
        <w:t>Проведение аукциона</w:t>
      </w:r>
      <w:bookmarkEnd w:id="159"/>
      <w:bookmarkEnd w:id="160"/>
    </w:p>
    <w:p>
      <w:pPr>
        <w:pStyle w:val="Style26"/>
        <w:rPr/>
      </w:pPr>
      <w:r>
        <w:rPr/>
        <w:t>Процедура аукциона проводится на ЭП в порядке, предусмотренном настоящим подразделом и Регламентом ЭП.</w:t>
      </w:r>
    </w:p>
    <w:p>
      <w:pPr>
        <w:pStyle w:val="Style26"/>
        <w:rPr/>
      </w:pPr>
      <w:r>
        <w:rPr/>
        <w:t>Оператор ЭП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ЭП порядка на протяжении всего срока проведения аукциона.</w:t>
      </w:r>
    </w:p>
    <w:p>
      <w:pPr>
        <w:pStyle w:val="Style26"/>
        <w:rPr/>
      </w:pPr>
      <w:r>
        <w:rPr/>
        <w:t>В аукционе могут участвовать только Участники, заявки которых были признаны Закупочной комиссией соответствующими по результатам рассмотрения заявок (подраздел </w:t>
      </w:r>
      <w:r>
        <w:rPr/>
        <w:fldChar w:fldCharType="begin"/>
      </w:r>
      <w:r>
        <w:rPr/>
        <w:instrText xml:space="preserve"> REF _Ref125362364 \w \h </w:instrText>
      </w:r>
      <w:r>
        <w:rPr/>
        <w:fldChar w:fldCharType="separate"/>
      </w:r>
      <w:r>
        <w:rPr/>
        <w:t>4.9</w:t>
      </w:r>
      <w:r>
        <w:rPr/>
        <w:fldChar w:fldCharType="end"/>
      </w:r>
      <w:r>
        <w:rPr/>
        <w:t>).</w:t>
      </w:r>
    </w:p>
    <w:p>
      <w:pPr>
        <w:pStyle w:val="Style26"/>
        <w:rPr/>
      </w:pPr>
      <w:r>
        <w:rPr/>
        <w:t>Дата и время проведения аукциона установлены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их, официально разместив информацию об этом.</w:t>
      </w:r>
    </w:p>
    <w:p>
      <w:pPr>
        <w:pStyle w:val="Style26"/>
        <w:rPr/>
      </w:pPr>
      <w:r>
        <w:rPr/>
        <w:t>Аукцион проводится путем снижения НМЦ, а затем текущей минимальной ценовой ставки – на произвольную величину в пределах «шага аукциона» (подраздел </w:t>
      </w:r>
      <w:r>
        <w:rPr/>
        <w:fldChar w:fldCharType="begin"/>
      </w:r>
      <w:r>
        <w:rPr/>
        <w:instrText xml:space="preserve"> REF _Ref125359973 \r \h </w:instrText>
      </w:r>
      <w:r>
        <w:rPr/>
        <w:fldChar w:fldCharType="separate"/>
      </w:r>
      <w:r>
        <w:rPr/>
        <w:t>1.2</w:t>
      </w:r>
      <w:r>
        <w:rPr/>
        <w:fldChar w:fldCharType="end"/>
      </w:r>
      <w:r>
        <w:rPr/>
        <w:t>). Снижение стоимости заявки на величину, меньше «шага аукциона», не допускается. Снижение стоимости заявки на величину, превышающую «шаг аукциона», не допускается.</w:t>
      </w:r>
    </w:p>
    <w:p>
      <w:pPr>
        <w:pStyle w:val="Style26"/>
        <w:rPr/>
      </w:pPr>
      <w:r>
        <w:rPr/>
        <w:t>Аукцион проводится однократно,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 за исключением случая, когда предыдущая ценовая ставка была сделана этим же Участником.</w:t>
      </w:r>
    </w:p>
    <w:p>
      <w:pPr>
        <w:pStyle w:val="Style26"/>
        <w:rPr/>
      </w:pPr>
      <w:r>
        <w:rPr/>
        <w:t>Участники подают ценовые ставки анонимно для других Участников под присвоенными им Оператором ЭП идентификационными номерами.</w:t>
      </w:r>
    </w:p>
    <w:p>
      <w:pPr>
        <w:pStyle w:val="Style26"/>
        <w:rPr/>
      </w:pPr>
      <w:r>
        <w:rPr/>
        <w:t>При проведении аукциона устанавливается время приема ценовых ставок Участников, составляющее 30 (тридцать) минут от времени начала проведения аукциона до окончания аукциона. Если в течение указанного времени, а также 10 (десяти) минут после поступления последней ценовой ставки ни одной более низкой ценовой ставки не поступило, процедура аукциона автоматически завершается с помощью программных и технических средств ЭП.</w:t>
      </w:r>
    </w:p>
    <w:p>
      <w:pPr>
        <w:pStyle w:val="Style26"/>
        <w:rPr/>
      </w:pPr>
      <w:r>
        <w:rPr/>
        <w:t>Каждая новая ценовая ставка Участника должна быть меньше предыдущей и меньше стоимости заявки (цены Договора), указанной им в Письме о подаче оферты (форма 2) (</w:t>
      </w:r>
      <w:hyperlink w:anchor="Прил04_ФормыЗаявки">
        <w:r>
          <w:rPr>
            <w:rStyle w:val="Style14"/>
          </w:rPr>
          <w:t>Приложение № 4</w:t>
        </w:r>
      </w:hyperlink>
      <w:r>
        <w:rPr/>
        <w:t>), а также не должна равняться нулю. Изменение стоимости заявки, предлагаемой Участником в процессе проведения аукциона, не должно повлечь за собой изменение иных условий заявки, в том числе отклонения (в сторону ухудшения) от требований, условий Заказчика, описанных в Документации о закупке, коммерческих интересов Заказчика.</w:t>
      </w:r>
    </w:p>
    <w:p>
      <w:pPr>
        <w:pStyle w:val="Style26"/>
        <w:rPr/>
      </w:pPr>
      <w:r>
        <w:rPr/>
        <w:t>Если в ходе аукциона стоимость заявки снижена до нуля, ход аукциона на понижение стоимости автоматически, без изменения состава Участников, переходит на повышение стоимости заявки.</w:t>
      </w:r>
    </w:p>
    <w:p>
      <w:pPr>
        <w:pStyle w:val="Style26"/>
        <w:rPr/>
      </w:pPr>
      <w:r>
        <w:rPr/>
        <w:t>Прием ценовых ставок от Участников прекращается в момент окончания процедуры аукциона. При этом Участникам, занявшим 2 (второе) место и ниже в ранжировке заявок по окончанию аукциона, предлагается в течение ограниченного времени (не более 30 (тридцати) минут с момента завершения процедуры аукциона) дополнительная возможность снижения стоимости своей заявки в целях борьбы за 2 (второе) место, независимо от «шага аукциона», но не более чем до значения ценовой ставки Участника с наилучшим ценовым предложением.</w:t>
      </w:r>
    </w:p>
    <w:p>
      <w:pPr>
        <w:pStyle w:val="Style26"/>
        <w:rPr/>
      </w:pPr>
      <w:r>
        <w:rPr/>
        <w:t>Участник, признанный Победителем (подавший наилучшее ценовое предложение), обязан предоставить Заказчику в сроки, определенные подразделом </w:t>
      </w:r>
      <w:r>
        <w:rPr/>
        <w:fldChar w:fldCharType="begin"/>
      </w:r>
      <w:r>
        <w:rPr/>
        <w:instrText xml:space="preserve"> REF _Ref138232981 \r \h </w:instrText>
      </w:r>
      <w:r>
        <w:rPr/>
        <w:fldChar w:fldCharType="separate"/>
      </w:r>
      <w:r>
        <w:rPr/>
        <w:t>5.2</w:t>
      </w:r>
      <w:r>
        <w:rPr/>
        <w:fldChar w:fldCharType="end"/>
      </w:r>
      <w:r>
        <w:rPr/>
        <w:t>, документы своей заявки, указанные в пункте </w:t>
      </w:r>
      <w:r>
        <w:rPr/>
        <w:fldChar w:fldCharType="begin"/>
      </w:r>
      <w:r>
        <w:rPr/>
        <w:instrText xml:space="preserve"> REF _Ref172285309 \r \h </w:instrText>
      </w:r>
      <w:r>
        <w:rPr/>
        <w:fldChar w:fldCharType="separate"/>
      </w:r>
      <w:r>
        <w:rPr/>
        <w:t>4.11.13</w:t>
      </w:r>
      <w:r>
        <w:rPr/>
        <w:fldChar w:fldCharType="end"/>
      </w:r>
      <w:r>
        <w:rPr/>
        <w:t>, подлежащие корректировке в строгом соответствии с заявленной им в ходе проведения аукциона ценовой ставкой.</w:t>
      </w:r>
    </w:p>
    <w:p>
      <w:pPr>
        <w:pStyle w:val="Style26"/>
        <w:keepNext w:val="true"/>
        <w:rPr/>
      </w:pPr>
      <w:bookmarkStart w:id="161" w:name="_Ref172285309"/>
      <w:r>
        <w:rPr/>
        <w:t>Документы заявки, подлежащие корректировке по результатам аукциона:</w:t>
      </w:r>
      <w:bookmarkEnd w:id="161"/>
    </w:p>
    <w:p>
      <w:pPr>
        <w:pStyle w:val="Style27"/>
        <w:rPr/>
      </w:pPr>
      <w:r>
        <w:rPr/>
        <w:t>Письмо о подаче оферты (форма 2) (</w:t>
      </w:r>
      <w:hyperlink w:anchor="Прил04_ФормыЗаявки">
        <w:r>
          <w:rPr>
            <w:rStyle w:val="Style14"/>
          </w:rPr>
          <w:t>Приложение № 4</w:t>
        </w:r>
      </w:hyperlink>
      <w:r>
        <w:rPr/>
        <w:t>);</w:t>
      </w:r>
    </w:p>
    <w:p>
      <w:pPr>
        <w:pStyle w:val="Style27"/>
        <w:rPr/>
      </w:pPr>
      <w:r>
        <w:rPr/>
        <w:t>Коммерческое предложение (форма 3) (</w:t>
      </w:r>
      <w:hyperlink w:anchor="Прил04_ФормыЗаявки">
        <w:r>
          <w:rPr>
            <w:rStyle w:val="Style14"/>
          </w:rPr>
          <w:t>Приложение № 4</w:t>
        </w:r>
      </w:hyperlink>
      <w:r>
        <w:rPr/>
        <w:t xml:space="preserve">); также дополнительно предоставляется подтверждающая документация, составленная в соответствии с </w:t>
      </w:r>
      <w:hyperlink w:anchor="Прил01_ТехТребования">
        <w:r>
          <w:rPr>
            <w:rStyle w:val="Style14"/>
          </w:rPr>
          <w:t>Техническими требованиями (Приложение № 1)</w:t>
        </w:r>
      </w:hyperlink>
      <w:r>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p>
      <w:pPr>
        <w:pStyle w:val="Style27"/>
        <w:rPr/>
      </w:pPr>
      <w:r>
        <w:rPr/>
        <w:t>План распределения объемов поставки продукции (форма 10) (</w:t>
      </w:r>
      <w:hyperlink w:anchor="Прил04_ФормыЗаявки">
        <w:r>
          <w:rPr>
            <w:rStyle w:val="Style14"/>
          </w:rPr>
          <w:t>Приложение № 4</w:t>
        </w:r>
      </w:hyperlink>
      <w:r>
        <w:rPr/>
        <w:t>) – только если заявка подана Коллективным участником или Генеральным подрядчиком.</w:t>
      </w:r>
    </w:p>
    <w:p>
      <w:pPr>
        <w:pStyle w:val="Style25"/>
        <w:rPr/>
      </w:pPr>
      <w:bookmarkStart w:id="162" w:name="_Toc228976019"/>
      <w:bookmarkStart w:id="163" w:name="_Ref125369308"/>
      <w:bookmarkStart w:id="164" w:name="_Ref125369041"/>
      <w:bookmarkStart w:id="165" w:name="_Ref125366534"/>
      <w:bookmarkStart w:id="166" w:name="_Ref125365519"/>
      <w:bookmarkStart w:id="167" w:name="_Ref125365335"/>
      <w:bookmarkStart w:id="168" w:name="_Ref125362626"/>
      <w:r>
        <w:rPr/>
        <w:t>Оценка и сопоставление заявок</w:t>
      </w:r>
      <w:bookmarkEnd w:id="162"/>
      <w:bookmarkEnd w:id="163"/>
      <w:bookmarkEnd w:id="164"/>
      <w:bookmarkEnd w:id="165"/>
      <w:bookmarkEnd w:id="166"/>
      <w:bookmarkEnd w:id="167"/>
      <w:bookmarkEnd w:id="168"/>
    </w:p>
    <w:p>
      <w:pPr>
        <w:pStyle w:val="Style26"/>
        <w:rPr/>
      </w:pPr>
      <w:r>
        <w:rPr/>
        <w:t>Оценка заявок, признанных Закупочной комиссией соответствующими по результатам рассмотрения заявок (подраздел </w:t>
      </w:r>
      <w:r>
        <w:rPr/>
        <w:fldChar w:fldCharType="begin"/>
      </w:r>
      <w:r>
        <w:rPr/>
        <w:instrText xml:space="preserve"> REF _Ref125362364 \w \h </w:instrText>
      </w:r>
      <w:r>
        <w:rPr/>
        <w:fldChar w:fldCharType="separate"/>
      </w:r>
      <w:r>
        <w:rPr/>
        <w:t>4.9</w:t>
      </w:r>
      <w:r>
        <w:rPr/>
        <w:fldChar w:fldCharType="end"/>
      </w:r>
      <w:r>
        <w:rPr/>
        <w:t xml:space="preserve">), осуществляется в соответствии с </w:t>
      </w:r>
      <w:hyperlink w:anchor="Прил08_ПорядокОценки">
        <w:r>
          <w:rPr>
            <w:rStyle w:val="Style14"/>
          </w:rPr>
          <w:t>Порядком и критериями оценки и сопоставления заявок (Приложение № 8)</w:t>
        </w:r>
      </w:hyperlink>
      <w:r>
        <w:rPr/>
        <w:t>, то есть:</w:t>
      </w:r>
    </w:p>
    <w:p>
      <w:pPr>
        <w:pStyle w:val="Style27"/>
        <w:rPr/>
      </w:pPr>
      <w:r>
        <w:rPr/>
        <w:t>в соответствии с единственным ценовым критерием оценки (критерием выбора Победителя) – стоимость заявки (цена Договора);</w:t>
      </w:r>
    </w:p>
    <w:p>
      <w:pPr>
        <w:pStyle w:val="Style27"/>
        <w:rPr/>
      </w:pPr>
      <w:r>
        <w:rPr/>
        <w:t>в едином базисе без учета НДС.</w:t>
      </w:r>
    </w:p>
    <w:p>
      <w:pPr>
        <w:pStyle w:val="Style26"/>
        <w:rPr/>
      </w:pPr>
      <w:r>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fldChar w:fldCharType="begin"/>
      </w:r>
      <w:r>
        <w:rPr/>
        <w:instrText xml:space="preserve"> REF _Ref186216127 \r \h </w:instrText>
      </w:r>
      <w:r>
        <w:rPr/>
        <w:fldChar w:fldCharType="separate"/>
      </w:r>
      <w:r>
        <w:rPr/>
        <w:t>4.13</w:t>
      </w:r>
      <w:r>
        <w:rPr/>
        <w:fldChar w:fldCharType="end"/>
      </w:r>
      <w:r>
        <w:rPr/>
        <w:t>).</w:t>
      </w:r>
    </w:p>
    <w:p>
      <w:pPr>
        <w:pStyle w:val="Style26"/>
        <w:rPr/>
      </w:pPr>
      <w:r>
        <w:rPr/>
        <w:t>По результатам оценки заявок Закупочная комиссия осуществляет их сопоставление – ранжирует все соответствующие по результатам рассмотрения заявки по мере повышения их стоимости (цены Договора). При этом первое место в ранжировке присваивается заявке с наименьшей стоимостью заявки</w:t>
      </w:r>
      <w:r>
        <w:rPr>
          <w:rStyle w:val="FootnoteReference"/>
        </w:rPr>
        <w:footnoteReference w:id="8"/>
      </w:r>
      <w:r>
        <w:rPr/>
        <w:t>.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pPr>
        <w:pStyle w:val="Style26"/>
        <w:rPr/>
      </w:pPr>
      <w:bookmarkStart w:id="169" w:name="_Ref130458671"/>
      <w:bookmarkStart w:id="170" w:name="_Ref125370507"/>
      <w:bookmarkStart w:id="171" w:name="_Ref125369991"/>
      <w:bookmarkStart w:id="172" w:name="_Ref125366064"/>
      <w:bookmarkEnd w:id="169"/>
      <w:bookmarkEnd w:id="170"/>
      <w:bookmarkEnd w:id="171"/>
      <w:bookmarkEnd w:id="172"/>
      <w:r>
        <w:rPr/>
        <w:t>Результаты оценки и сопоставления заявок вносятся в итоговый протокол по результатам закупки.</w:t>
      </w:r>
    </w:p>
    <w:p>
      <w:pPr>
        <w:pStyle w:val="Style25"/>
        <w:rPr/>
      </w:pPr>
      <w:bookmarkStart w:id="173" w:name="_Toc228976020"/>
      <w:bookmarkStart w:id="174" w:name="_Ref132894111"/>
      <w:bookmarkStart w:id="175" w:name="_Ref132894106"/>
      <w:bookmarkStart w:id="176" w:name="_Ref130985951"/>
      <w:bookmarkStart w:id="177" w:name="_Ref186216127"/>
      <w:bookmarkStart w:id="178" w:name="_Ref130458671_Копия_1"/>
      <w:bookmarkStart w:id="179" w:name="_Ref125370507_Копия_1"/>
      <w:bookmarkStart w:id="180" w:name="_Ref125369991_Копия_1"/>
      <w:bookmarkStart w:id="181" w:name="_Ref125366064_Копия_1"/>
      <w:bookmarkEnd w:id="178"/>
      <w:bookmarkEnd w:id="179"/>
      <w:bookmarkEnd w:id="180"/>
      <w:bookmarkEnd w:id="181"/>
      <w:r>
        <w:rPr/>
        <w:t>Применение законодательства о национальном режиме</w:t>
      </w:r>
      <w:bookmarkEnd w:id="173"/>
      <w:bookmarkEnd w:id="174"/>
      <w:bookmarkEnd w:id="175"/>
      <w:bookmarkEnd w:id="176"/>
      <w:bookmarkEnd w:id="177"/>
    </w:p>
    <w:p>
      <w:pPr>
        <w:pStyle w:val="Style26"/>
        <w:rPr/>
      </w:pPr>
      <w:r>
        <w:rPr/>
        <w:t>Настоящий подраздел применяется исходя из информации,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6"/>
        <w:rPr/>
      </w:pPr>
      <w:bookmarkStart w:id="182" w:name="_Ref207799781"/>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rPr/>
        <w:fldChar w:fldCharType="begin"/>
      </w:r>
      <w:r>
        <w:rPr/>
        <w:instrText xml:space="preserve"> REF _Ref135749133 \r \h </w:instrText>
      </w:r>
      <w:r>
        <w:rPr/>
        <w:fldChar w:fldCharType="separate"/>
      </w:r>
      <w:r>
        <w:rPr/>
        <w:t>4.9</w:t>
      </w:r>
      <w:r>
        <w:rPr/>
        <w:fldChar w:fldCharType="end"/>
      </w:r>
      <w:r>
        <w:rPr/>
        <w:t>).</w:t>
      </w:r>
      <w:bookmarkEnd w:id="182"/>
    </w:p>
    <w:p>
      <w:pPr>
        <w:pStyle w:val="Style26"/>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rPr/>
        <w:fldChar w:fldCharType="begin"/>
      </w:r>
      <w:r>
        <w:rPr/>
        <w:instrText xml:space="preserve"> REF _Ref135749133 \r \h </w:instrText>
      </w:r>
      <w:r>
        <w:rPr/>
        <w:fldChar w:fldCharType="separate"/>
      </w:r>
      <w:r>
        <w:rPr/>
        <w:t>4.9</w:t>
      </w:r>
      <w:r>
        <w:rPr/>
        <w:fldChar w:fldCharType="end"/>
      </w:r>
      <w:r>
        <w:rPr/>
        <w:t>).</w:t>
      </w:r>
    </w:p>
    <w:p>
      <w:pPr>
        <w:pStyle w:val="Style26"/>
        <w:rPr/>
      </w:pPr>
      <w:bookmarkStart w:id="183" w:name="_Ref192101097"/>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преимущества российской продукции, то </w:t>
      </w:r>
      <w:bookmarkStart w:id="184" w:name="_Hlk198907172"/>
      <w:r>
        <w:rPr/>
        <w:t>при оценке и сопоставлении заявок, а также их ранжировке (подраздел </w:t>
      </w:r>
      <w:r>
        <w:rPr/>
        <w:fldChar w:fldCharType="begin"/>
      </w:r>
      <w:r>
        <w:rPr/>
        <w:instrText xml:space="preserve"> REF _Ref125362626 \r \h </w:instrText>
      </w:r>
      <w:r>
        <w:rPr/>
        <w:fldChar w:fldCharType="separate"/>
      </w:r>
      <w:r>
        <w:rPr/>
        <w:t>4.12</w:t>
      </w:r>
      <w:r>
        <w:rPr/>
        <w:fldChar w:fldCharType="end"/>
      </w:r>
      <w:r>
        <w:rPr/>
        <w:t>), осуществляется снижение</w:t>
      </w:r>
      <w:r>
        <w:rPr>
          <w:rStyle w:val="FootnoteReference"/>
        </w:rPr>
        <w:footnoteReference w:id="9"/>
      </w:r>
      <w:r>
        <w:rPr/>
        <w:t xml:space="preserve"> на 15% (пятнадцать процентов) итоговой стоимости (цены Договора) поданной и допущенной заявки с российской продукцией (на поставку товара российского происхождения </w:t>
      </w:r>
      <w:bookmarkStart w:id="185" w:name="_Hlk198901350"/>
      <w:r>
        <w:rPr/>
        <w:t>(в том числе поставляемых при выполнении закупаемых работ, оказании закупаемых услуг))</w:t>
      </w:r>
      <w:bookmarkEnd w:id="185"/>
      <w:r>
        <w:rPr/>
        <w:t>, при условии наличия допущенной заявки с иностранной продукцией (на поставку товара иностранного происхождения)</w:t>
      </w:r>
      <w:bookmarkEnd w:id="184"/>
      <w:r>
        <w:rPr/>
        <w:t>.</w:t>
      </w:r>
      <w:bookmarkEnd w:id="183"/>
    </w:p>
    <w:p>
      <w:pPr>
        <w:pStyle w:val="Style26"/>
        <w:rPr/>
      </w:pPr>
      <w:bookmarkStart w:id="186" w:name="_Ref196303561"/>
      <w:bookmarkStart w:id="187" w:name="_Ref192700787"/>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Заказчик исполняет нормы в части минимальной обязательной доли закупок товаров российского происхождения, то не допускается заключение Договора на поставку товара иностранного происхождения, – соответствующая заявка отклоняется при рассмотрении заявок (подраздел </w:t>
      </w:r>
      <w:r>
        <w:rPr/>
        <w:fldChar w:fldCharType="begin"/>
      </w:r>
      <w:r>
        <w:rPr/>
        <w:instrText xml:space="preserve"> REF _Ref135749133 \r \h </w:instrText>
      </w:r>
      <w:r>
        <w:rPr/>
        <w:fldChar w:fldCharType="separate"/>
      </w:r>
      <w:r>
        <w:rPr/>
        <w:t>4.9</w:t>
      </w:r>
      <w:r>
        <w:rPr/>
        <w:fldChar w:fldCharType="end"/>
      </w:r>
      <w:r>
        <w:rPr/>
        <w:t>).</w:t>
      </w:r>
      <w:bookmarkEnd w:id="186"/>
      <w:bookmarkEnd w:id="187"/>
    </w:p>
    <w:p>
      <w:pPr>
        <w:pStyle w:val="Style26"/>
        <w:rPr/>
      </w:pPr>
      <w:r>
        <w:rPr/>
        <w:t xml:space="preserve">Состав и требования к сведениям и (или) перечню документов (их предоставлению Участником), которые подтверждают страну происхождения товара (страны ЕАЭС, включая Россию), в целях выполнения требований законодательства о национальном режиме (пункты </w:t>
      </w:r>
      <w:r>
        <w:rPr/>
        <w:fldChar w:fldCharType="begin"/>
      </w:r>
      <w:r>
        <w:rPr/>
        <w:instrText xml:space="preserve"> REF _Ref207799781 \r \h </w:instrText>
      </w:r>
      <w:r>
        <w:rPr/>
        <w:fldChar w:fldCharType="separate"/>
      </w:r>
      <w:r>
        <w:rPr/>
        <w:t>4.13.2</w:t>
      </w:r>
      <w:r>
        <w:rPr/>
        <w:fldChar w:fldCharType="end"/>
      </w:r>
      <w:r>
        <w:rPr/>
        <w:t xml:space="preserve"> – </w:t>
      </w:r>
      <w:r>
        <w:rPr/>
        <w:fldChar w:fldCharType="begin"/>
      </w:r>
      <w:r>
        <w:rPr/>
        <w:instrText xml:space="preserve"> REF _Ref192700787 \r \h </w:instrText>
      </w:r>
      <w:r>
        <w:rPr/>
        <w:fldChar w:fldCharType="separate"/>
      </w:r>
      <w:r>
        <w:rPr/>
        <w:t>4.13.5</w:t>
      </w:r>
      <w:r>
        <w:rPr/>
        <w:fldChar w:fldCharType="end"/>
      </w:r>
      <w:r>
        <w:rPr/>
        <w:t>), установлены в Структуре НМЦ (в составе Коммерческого предложения (форма 3) (</w:t>
      </w:r>
      <w:hyperlink w:anchor="Прил04_ФормыЗаявки">
        <w:r>
          <w:rPr>
            <w:rStyle w:val="Style14"/>
          </w:rPr>
          <w:t>Приложение № 4</w:t>
        </w:r>
      </w:hyperlink>
      <w:r>
        <w:rPr/>
        <w:t xml:space="preserve">), </w:t>
      </w:r>
      <w:bookmarkStart w:id="188" w:name="_Hlk207281039"/>
      <w:r>
        <w:rPr/>
        <w:t>а также в Технических требованиях (Приложение №1) в части установления требований к подтверждающим документам</w:t>
      </w:r>
      <w:bookmarkEnd w:id="188"/>
      <w:r>
        <w:rPr/>
        <w:t>.</w:t>
      </w:r>
    </w:p>
    <w:p>
      <w:pPr>
        <w:pStyle w:val="Style26"/>
        <w:keepNext w:val="true"/>
        <w:rPr/>
      </w:pPr>
      <w:r>
        <w:rPr/>
        <w:t>Товар приравнивается к товарам, происходящим из иностранного государства (не являющегося государством – членом ЕАЭС), если:</w:t>
      </w:r>
    </w:p>
    <w:p>
      <w:pPr>
        <w:pStyle w:val="Style27"/>
        <w:rPr/>
      </w:pPr>
      <w:r>
        <w:rPr/>
        <w:t>в отношении такого товара Участником не предоставлены в составе заявки требуемые Документацией о закупке подтверждающие сведения и (или) документы;</w:t>
      </w:r>
    </w:p>
    <w:p>
      <w:pPr>
        <w:pStyle w:val="Style27"/>
        <w:rPr/>
      </w:pPr>
      <w:r>
        <w:rPr/>
        <w:t>в соответствии с реестровой записью из реестра российской промышленной продукции количество указанных баллов за выполнение (освоение) на территории Российской Федерации соответствующих операций (условий) составляет меньшее значение по отношению к количеству баллов, определенных ПП 719 (в случае, если для такого товара ПП 719 установлены требования о совокупном количестве баллов).</w:t>
      </w:r>
    </w:p>
    <w:p>
      <w:pPr>
        <w:pStyle w:val="Style26"/>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(в отношении позиции № 146 приложения № 1 к ПП 1875), то заявка, содержащая предложение о поставке российского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в соответствии с ПП 325, приравнивается к заявке, содержащей предложение о поставке программного обеспечения, происходящего из иностранного государства (не являющегося государством – членом ЕАЭС), если на участие в закупке подана заявка (соответствующая установленным Документацией о закупке требованиям), содержащая предложение о поставке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 в соответствии с ПП 325.</w:t>
      </w:r>
    </w:p>
    <w:p>
      <w:pPr>
        <w:pStyle w:val="Style26"/>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(в отношении позиций №№ 195, 197 – 199, 203 приложения № 2 к ПП 1875), то заявка, содержащая предложение о поставке российской радиоэлектронной продукции, но не являющейся в соответствии с ПП 719 радиоэлектронной продукцией первого уровня, приравнивается к заявке, содержащей предложение о поставке радиоэлектронной продукции из иностранного государства (не являющегося государством – членом ЕАЭС), если на участие в закупке подана заявка (соответствующая установленным Документацией о закупке требованиям), содержащая предложение о поставке радиоэлектронной продукции российского происхождения, являющейся в соответствии с ПП 719 радиоэлектронной продукцией первого уровня.</w:t>
      </w:r>
    </w:p>
    <w:p>
      <w:pPr>
        <w:pStyle w:val="Style26"/>
        <w:rPr/>
      </w:pPr>
      <w:bookmarkStart w:id="189" w:name="_Hlk191561456"/>
      <w:r>
        <w:rPr/>
        <w:t>Если Договор был заключен по результатам закупки, в которой был установлен режим запрета закупки иностранных товаров, выполнения работ и (или) оказания услуг иностранным лицом,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 установлен запрет;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89"/>
      <w:r>
        <w:rPr/>
        <w:t>.</w:t>
      </w:r>
    </w:p>
    <w:p>
      <w:pPr>
        <w:pStyle w:val="Style26"/>
        <w:rPr/>
      </w:pPr>
      <w:r>
        <w:rPr/>
        <w:t>Если Договор был заключен по результатам закупки, в которой был установлен режим ограничения закупки иностранных товаров,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было установлено ограничение, если Договор предусматривает поставку товара российского происхождения.</w:t>
      </w:r>
    </w:p>
    <w:p>
      <w:pPr>
        <w:pStyle w:val="Style26"/>
        <w:rPr/>
      </w:pPr>
      <w:r>
        <w:rPr/>
        <w:t>Если Договор был заключен по результатам закупки, в которой был установлен режим преимущество в отношении товара российского происхождения,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было установлено преимущество, если Договор предусматривает поставку товара российского происхождения.</w:t>
      </w:r>
    </w:p>
    <w:p>
      <w:pPr>
        <w:pStyle w:val="Style25"/>
        <w:rPr/>
      </w:pPr>
      <w:bookmarkStart w:id="190" w:name="_Ref125367242"/>
      <w:bookmarkStart w:id="191" w:name="_Ref125366091"/>
      <w:bookmarkStart w:id="192" w:name="_Ref125362658"/>
      <w:bookmarkStart w:id="193" w:name="_Toc228976021"/>
      <w:bookmarkStart w:id="194" w:name="_Toc186216759"/>
      <w:bookmarkStart w:id="195" w:name="_Toc186216758"/>
      <w:bookmarkStart w:id="196" w:name="_Toc186216757"/>
      <w:bookmarkStart w:id="197" w:name="_Toc186216756"/>
      <w:bookmarkStart w:id="198" w:name="_Toc186216755"/>
      <w:bookmarkStart w:id="199" w:name="_Toc186216754"/>
      <w:bookmarkStart w:id="200" w:name="_Toc186216753"/>
      <w:bookmarkStart w:id="201" w:name="_Toc186216752"/>
      <w:bookmarkStart w:id="202" w:name="_Toc186216751"/>
      <w:bookmarkStart w:id="203" w:name="_Toc186216750"/>
      <w:bookmarkStart w:id="204" w:name="_Toc186216749"/>
      <w:bookmarkStart w:id="205" w:name="_Toc186216748"/>
      <w:bookmarkStart w:id="206" w:name="_Toc186216747"/>
      <w:bookmarkStart w:id="207" w:name="_Toc186216746"/>
      <w:bookmarkStart w:id="208" w:name="_Toc186216745"/>
      <w:bookmarkStart w:id="209" w:name="_Toc186216744"/>
      <w:bookmarkStart w:id="210" w:name="_Toc186216743"/>
      <w:bookmarkStart w:id="211" w:name="_Toc186216742"/>
      <w:bookmarkStart w:id="212" w:name="_Toc186216741"/>
      <w:bookmarkStart w:id="213" w:name="_Toc186216740"/>
      <w:bookmarkStart w:id="214" w:name="_Toc186216739"/>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Pr/>
        <w:t>Подведение итогов закупки (определение Победителя)</w:t>
      </w:r>
      <w:bookmarkEnd w:id="190"/>
      <w:bookmarkEnd w:id="191"/>
      <w:bookmarkEnd w:id="192"/>
      <w:bookmarkEnd w:id="193"/>
    </w:p>
    <w:p>
      <w:pPr>
        <w:pStyle w:val="Style26"/>
        <w:rPr/>
      </w:pPr>
      <w:r>
        <w:rPr/>
        <w:t>Дата окончания срока подведения итогов закупки указана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6"/>
        <w:rPr/>
      </w:pPr>
      <w:r>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6"/>
        <w:rPr/>
      </w:pPr>
      <w:bookmarkStart w:id="215" w:name="_Ref149653124"/>
      <w:r>
        <w:rPr/>
        <w:t>В случае непредставления Участником, подавшим наименьшее ценовое предложение, документов своей заявки, содержащих цену Договора и подлежащих корректировке в соответствии с заявленной им в ходе проведения аукциона ценовой ставкой,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Участника, которому присвоено 2 (второе) место, с предпоследним ценовым предложением.</w:t>
      </w:r>
      <w:bookmarkEnd w:id="215"/>
    </w:p>
    <w:p>
      <w:pPr>
        <w:pStyle w:val="Style26"/>
        <w:rPr/>
      </w:pPr>
      <w:r>
        <w:rPr/>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 рамках постквалификации Организатор вправе запросить у Участника предоставление документов и (или)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Постквалификация проводится по отборочным критериям (</w:t>
      </w:r>
      <w:hyperlink w:anchor="Прил07_ОтборочныеКритерии">
        <w:r>
          <w:rPr>
            <w:rStyle w:val="Style14"/>
          </w:rPr>
          <w:t>Приложение № 7</w:t>
        </w:r>
      </w:hyperlink>
      <w:r>
        <w:rPr/>
        <w:t>), относящимся к соответствию Участника установленным требованиям Документации о закупке. Заявка Участника, не отвечающего необходимым требованиям, отклоняется, при этом Организатор вправе продолжить процедуру проверки в отношении Участника, занявшего следующее место в ранжировке.</w:t>
      </w:r>
    </w:p>
    <w:p>
      <w:pPr>
        <w:pStyle w:val="Style26"/>
        <w:rPr/>
      </w:pPr>
      <w:r>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6"/>
        <w:keepNext w:val="true"/>
        <w:rPr/>
      </w:pPr>
      <w:bookmarkStart w:id="216" w:name="_Ref125365974"/>
      <w:r>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rPr>
        <w:footnoteReference w:id="10"/>
      </w:r>
      <w:r>
        <w:rPr/>
        <w:t>:</w:t>
      </w:r>
      <w:bookmarkEnd w:id="216"/>
    </w:p>
    <w:p>
      <w:pPr>
        <w:pStyle w:val="Style27"/>
        <w:rPr/>
      </w:pPr>
      <w:r>
        <w:rPr/>
        <w:t>дата подписания протокола;</w:t>
      </w:r>
    </w:p>
    <w:p>
      <w:pPr>
        <w:pStyle w:val="Style27"/>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7"/>
        <w:rPr/>
      </w:pPr>
      <w:r>
        <w:rPr/>
        <w:t>наименования Участников, заявки которых были допущены по результатам рассмотрения заявок, и (или) их идентификационные номера, присваиваемые Оператором ЭП;</w:t>
      </w:r>
    </w:p>
    <w:p>
      <w:pPr>
        <w:pStyle w:val="Style27"/>
        <w:keepNext w:val="true"/>
        <w:rPr/>
      </w:pPr>
      <w:r>
        <w:rPr/>
        <w:t>результаты дополнительного рассмотрения заявок (при возникновении оснований для отклонения заявок по результатам проведения постквалификации или актуализации статуса аккредитации, если такие процедуры проводились) с указанием, в том числе:</w:t>
      </w:r>
    </w:p>
    <w:p>
      <w:pPr>
        <w:pStyle w:val="Style28"/>
        <w:rPr/>
      </w:pPr>
      <w:r>
        <w:rPr/>
        <w:t>количества заявок, которые были отклонены;</w:t>
      </w:r>
    </w:p>
    <w:p>
      <w:pPr>
        <w:pStyle w:val="Style28"/>
        <w:rPr/>
      </w:pPr>
      <w:r>
        <w:rPr/>
        <w:t>оснований отклонения каждой заявки с указанием положений Документации о закупке, которым не соответствует такая заявка;</w:t>
      </w:r>
    </w:p>
    <w:p>
      <w:pPr>
        <w:pStyle w:val="Style27"/>
        <w:rPr/>
      </w:pPr>
      <w:r>
        <w:rPr/>
        <w:t>результаты оценки и сопоставления заявок (ранжировка заявок);</w:t>
      </w:r>
    </w:p>
    <w:p>
      <w:pPr>
        <w:pStyle w:val="Style27"/>
        <w:rPr/>
      </w:pPr>
      <w:bookmarkStart w:id="217" w:name="_Hlk149650644"/>
      <w:r>
        <w:rPr/>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(если указанная процедура проводилась), в ранжировке заявок</w:t>
      </w:r>
      <w:bookmarkEnd w:id="217"/>
      <w:r>
        <w:rPr/>
        <w:t>;</w:t>
      </w:r>
    </w:p>
    <w:p>
      <w:pPr>
        <w:pStyle w:val="Style27"/>
        <w:rPr/>
      </w:pPr>
      <w:r>
        <w:rPr/>
        <w:t>наименование Победителя закупки или Единственного участника несостоявшейся закупки, с которым планируется заключить Договор;</w:t>
      </w:r>
    </w:p>
    <w:p>
      <w:pPr>
        <w:pStyle w:val="Style27"/>
        <w:rPr/>
      </w:pPr>
      <w:r>
        <w:rPr/>
        <w:t>причины, по которым закупка признана несостоявшейся (в случае ее признания таковой),</w:t>
      </w:r>
    </w:p>
    <w:p>
      <w:pPr>
        <w:pStyle w:val="Style30"/>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6"/>
        <w:rPr/>
      </w:pPr>
      <w:r>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6"/>
        <w:rPr/>
      </w:pPr>
      <w:r>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5"/>
        <w:rPr/>
      </w:pPr>
      <w:bookmarkStart w:id="218" w:name="_Toc228976022"/>
      <w:bookmarkStart w:id="219" w:name="_Ref186215888"/>
      <w:bookmarkStart w:id="220" w:name="_Ref125366796"/>
      <w:bookmarkStart w:id="221" w:name="_Ref125366631"/>
      <w:bookmarkStart w:id="222" w:name="_Ref125365570"/>
      <w:bookmarkStart w:id="223" w:name="_Ref125365305"/>
      <w:bookmarkStart w:id="224" w:name="_Ref125364187"/>
      <w:bookmarkStart w:id="225" w:name="_Ref125364149"/>
      <w:bookmarkStart w:id="226" w:name="_Toc186216761"/>
      <w:bookmarkEnd w:id="226"/>
      <w:r>
        <w:rPr/>
        <w:t>Признание закупки несостоявшейся</w:t>
      </w:r>
      <w:bookmarkEnd w:id="218"/>
      <w:bookmarkEnd w:id="219"/>
      <w:bookmarkEnd w:id="220"/>
      <w:bookmarkEnd w:id="221"/>
      <w:bookmarkEnd w:id="222"/>
      <w:bookmarkEnd w:id="223"/>
      <w:bookmarkEnd w:id="224"/>
      <w:bookmarkEnd w:id="225"/>
    </w:p>
    <w:p>
      <w:pPr>
        <w:pStyle w:val="Style26"/>
        <w:keepNext w:val="true"/>
        <w:rPr/>
      </w:pPr>
      <w:r>
        <w:rPr/>
        <w:t>Закупка признается несостоявшейся в следующих случаях:</w:t>
      </w:r>
    </w:p>
    <w:p>
      <w:pPr>
        <w:pStyle w:val="Style27"/>
        <w:rPr/>
      </w:pPr>
      <w:r>
        <w:rPr/>
        <w:t>если по окончанию срока подачи заявок поступило менее 2 (двух) заявок (с учетом возможных отзывов заявок);</w:t>
      </w:r>
    </w:p>
    <w:p>
      <w:pPr>
        <w:pStyle w:val="Style27"/>
        <w:rPr/>
      </w:pPr>
      <w:r>
        <w:rPr/>
        <w:t>по результатам рассмотрения заявок Закупочной комиссией принято решение о признании менее 2 (двух) заявок соответствующими требованиям Документации о закупки;</w:t>
      </w:r>
    </w:p>
    <w:p>
      <w:pPr>
        <w:pStyle w:val="Style27"/>
        <w:rPr/>
      </w:pPr>
      <w:r>
        <w:rPr/>
        <w:t xml:space="preserve">по результатам проведения закупки от заключения договора уклонились все допущенные Участники (подраздел </w:t>
      </w:r>
      <w:r>
        <w:rPr/>
        <w:fldChar w:fldCharType="begin"/>
      </w:r>
      <w:r>
        <w:rPr/>
        <w:instrText xml:space="preserve"> REF _Ref125367068 \r \h </w:instrText>
      </w:r>
      <w:r>
        <w:rPr/>
        <w:fldChar w:fldCharType="separate"/>
      </w:r>
      <w:r>
        <w:rPr/>
        <w:t>5.4</w:t>
      </w:r>
      <w:r>
        <w:rPr/>
        <w:fldChar w:fldCharType="end"/>
      </w:r>
      <w:r>
        <w:rPr/>
        <w:t>).</w:t>
      </w:r>
    </w:p>
    <w:p>
      <w:pPr>
        <w:pStyle w:val="Style26"/>
        <w:rPr/>
      </w:pPr>
      <w:r>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6"/>
        <w:keepNext w:val="true"/>
        <w:rPr/>
      </w:pPr>
      <w:r>
        <w:rPr/>
        <w:t>В случае признания закупки несостоявшейся (с учетом условий, предусмотренных Положением о закупке):</w:t>
      </w:r>
    </w:p>
    <w:p>
      <w:pPr>
        <w:pStyle w:val="Style27"/>
        <w:rPr/>
      </w:pPr>
      <w:r>
        <w:rPr/>
        <w:t>если поступила только 1 (одна) заявка от одного Участника (с учетом отозванных Участниками заявок), либо по результатам рассмотрения заявок (или постквалификации, если проводилась) принято решение о признании только 1 (одной) заявки соответствующей требованиям Документации о закупке – Заказчик заключает договор с Единственным участником несостоявшейся закупки (раздел </w:t>
      </w:r>
      <w:r>
        <w:rPr/>
        <w:fldChar w:fldCharType="begin"/>
      </w:r>
      <w:r>
        <w:rPr/>
        <w:instrText xml:space="preserve"> REF _Ref126142429 \r \h </w:instrText>
      </w:r>
      <w:r>
        <w:rPr/>
        <w:fldChar w:fldCharType="separate"/>
      </w:r>
      <w:r>
        <w:rPr/>
        <w:t>5</w:t>
      </w:r>
      <w:r>
        <w:rPr/>
        <w:fldChar w:fldCharType="end"/>
      </w:r>
      <w:r>
        <w:rPr/>
        <w:t>) (при наличии экономической целесообразности и/или при условии отсутствия времени на повторное проведение закупки).</w:t>
      </w:r>
    </w:p>
    <w:p>
      <w:pPr>
        <w:pStyle w:val="Style34"/>
        <w:numPr>
          <w:ilvl w:val="0"/>
          <w:numId w:val="0"/>
        </w:numPr>
        <w:ind w:left="1701" w:hanging="0"/>
        <w:rPr>
          <w:sz w:val="26"/>
          <w:szCs w:val="26"/>
        </w:rPr>
      </w:pPr>
      <w:r>
        <w:rPr>
          <w:sz w:val="26"/>
          <w:szCs w:val="26"/>
        </w:rPr>
        <w:t>В случае отсутствия экономической целесообразности и/или при наличии времени на повторное проведение закупки, Заказчик принимает одно из следующих решений в порядке приоритета:</w:t>
      </w:r>
    </w:p>
    <w:p>
      <w:pPr>
        <w:pStyle w:val="-1"/>
        <w:numPr>
          <w:ilvl w:val="0"/>
          <w:numId w:val="19"/>
        </w:numPr>
        <w:tabs>
          <w:tab w:val="clear" w:pos="2552"/>
        </w:tabs>
        <w:ind w:left="2127" w:hanging="426"/>
        <w:rPr>
          <w:sz w:val="26"/>
          <w:szCs w:val="26"/>
        </w:rPr>
      </w:pPr>
      <w:r>
        <w:rPr>
          <w:sz w:val="26"/>
          <w:szCs w:val="26"/>
        </w:rPr>
        <w:t>повторное проведение закупки (с изменением способа закупки, если применимо в соответствии с Положением о закупке);</w:t>
      </w:r>
    </w:p>
    <w:p>
      <w:pPr>
        <w:pStyle w:val="-1"/>
        <w:numPr>
          <w:ilvl w:val="0"/>
          <w:numId w:val="19"/>
        </w:numPr>
        <w:tabs>
          <w:tab w:val="clear" w:pos="2552"/>
        </w:tabs>
        <w:ind w:left="1701" w:hanging="0"/>
        <w:rPr>
          <w:sz w:val="26"/>
          <w:szCs w:val="26"/>
        </w:rPr>
      </w:pPr>
      <w:r>
        <w:rPr>
          <w:sz w:val="26"/>
          <w:szCs w:val="26"/>
        </w:rPr>
        <w:t>отказ от заключения договора по следующим основаниям:</w:t>
      </w:r>
    </w:p>
    <w:p>
      <w:pPr>
        <w:pStyle w:val="-1"/>
        <w:numPr>
          <w:ilvl w:val="0"/>
          <w:numId w:val="20"/>
        </w:numPr>
        <w:tabs>
          <w:tab w:val="clear" w:pos="2552"/>
        </w:tabs>
        <w:ind w:left="2410" w:hanging="283"/>
        <w:rPr>
          <w:sz w:val="26"/>
          <w:szCs w:val="26"/>
        </w:rPr>
      </w:pPr>
      <w:r>
        <w:rPr>
          <w:sz w:val="26"/>
          <w:szCs w:val="26"/>
        </w:rPr>
        <w:t>изменение финансовых, инвестиционных, производственных и иных программ, оказавших влияние на потребность в данной закупке;</w:t>
      </w:r>
    </w:p>
    <w:p>
      <w:pPr>
        <w:pStyle w:val="-1"/>
        <w:numPr>
          <w:ilvl w:val="0"/>
          <w:numId w:val="20"/>
        </w:numPr>
        <w:tabs>
          <w:tab w:val="clear" w:pos="2552"/>
        </w:tabs>
        <w:ind w:left="2410" w:hanging="283"/>
        <w:rPr>
          <w:sz w:val="26"/>
          <w:szCs w:val="26"/>
        </w:rPr>
      </w:pPr>
      <w:r>
        <w:rPr>
          <w:sz w:val="26"/>
          <w:szCs w:val="26"/>
        </w:rPr>
        <w:t>изменение потребности в продукции, в том числе изменение характеристик продукции, при наличии утверждения таких изменений;</w:t>
      </w:r>
    </w:p>
    <w:p>
      <w:pPr>
        <w:pStyle w:val="-1"/>
        <w:numPr>
          <w:ilvl w:val="0"/>
          <w:numId w:val="20"/>
        </w:numPr>
        <w:tabs>
          <w:tab w:val="clear" w:pos="2552"/>
        </w:tabs>
        <w:ind w:left="2410" w:hanging="283"/>
        <w:rPr>
          <w:sz w:val="26"/>
          <w:szCs w:val="26"/>
        </w:rPr>
      </w:pPr>
      <w:r>
        <w:rPr>
          <w:sz w:val="26"/>
          <w:szCs w:val="26"/>
        </w:rPr>
        <w:t>необходимость исполнения предписаний антимонопольного органа;</w:t>
      </w:r>
    </w:p>
    <w:p>
      <w:pPr>
        <w:pStyle w:val="-1"/>
        <w:numPr>
          <w:ilvl w:val="0"/>
          <w:numId w:val="19"/>
        </w:numPr>
        <w:tabs>
          <w:tab w:val="clear" w:pos="2552"/>
        </w:tabs>
        <w:ind w:left="2127" w:hanging="426"/>
        <w:rPr>
          <w:sz w:val="26"/>
          <w:szCs w:val="26"/>
        </w:rPr>
      </w:pPr>
      <w:bookmarkStart w:id="227" w:name="_Hlk214281841"/>
      <w:r>
        <w:rPr>
          <w:sz w:val="26"/>
          <w:szCs w:val="26"/>
        </w:rPr>
        <w:t>отказ от дополнительного повторного проведения закупки (при отсутствии заявок, соответствующих установленным требованиям, по результатам повторного проведения закупки);</w:t>
      </w:r>
      <w:bookmarkEnd w:id="227"/>
    </w:p>
    <w:p>
      <w:pPr>
        <w:pStyle w:val="Style27"/>
        <w:rPr/>
      </w:pPr>
      <w:r>
        <w:rPr/>
        <w:t>если не поступило ни одной заявки, либо по результатам рассмотрения заявок (или постквалификации, если проводилась), принято решение о признании их не соответствующими требованиям Документации о закупке, либо по результатам проведения закупки от заключения договора уклонились все допущенные Участники – Заказчик проводит повторную закупку (с изменением способа закупки, если применимо в соответствии с Положением о закупке).</w:t>
      </w:r>
    </w:p>
    <w:p>
      <w:pPr>
        <w:pStyle w:val="Style34"/>
        <w:numPr>
          <w:ilvl w:val="0"/>
          <w:numId w:val="0"/>
        </w:numPr>
        <w:ind w:left="1701" w:hanging="0"/>
        <w:rPr>
          <w:sz w:val="26"/>
          <w:szCs w:val="26"/>
        </w:rPr>
      </w:pPr>
      <w:r>
        <w:rPr>
          <w:sz w:val="26"/>
          <w:szCs w:val="26"/>
        </w:rPr>
        <w:t>Заказчик вправе отказаться от проведения повторной закупки по следующим основаниям:</w:t>
      </w:r>
    </w:p>
    <w:p>
      <w:pPr>
        <w:pStyle w:val="-1"/>
        <w:numPr>
          <w:ilvl w:val="0"/>
          <w:numId w:val="20"/>
        </w:numPr>
        <w:tabs>
          <w:tab w:val="clear" w:pos="2552"/>
        </w:tabs>
        <w:ind w:left="2127" w:hanging="426"/>
        <w:rPr>
          <w:sz w:val="26"/>
          <w:szCs w:val="26"/>
        </w:rPr>
      </w:pPr>
      <w:r>
        <w:rPr>
          <w:sz w:val="26"/>
          <w:szCs w:val="26"/>
        </w:rPr>
        <w:t>изменение финансовых, инвестиционных, производственных и иных программ, оказавших влияние на потребность в данной закупке;</w:t>
      </w:r>
    </w:p>
    <w:p>
      <w:pPr>
        <w:pStyle w:val="-1"/>
        <w:numPr>
          <w:ilvl w:val="0"/>
          <w:numId w:val="20"/>
        </w:numPr>
        <w:tabs>
          <w:tab w:val="clear" w:pos="2552"/>
        </w:tabs>
        <w:ind w:left="2127" w:hanging="426"/>
        <w:rPr>
          <w:sz w:val="26"/>
          <w:szCs w:val="26"/>
        </w:rPr>
      </w:pPr>
      <w:r>
        <w:rPr>
          <w:sz w:val="26"/>
          <w:szCs w:val="26"/>
        </w:rPr>
        <w:t>изменение потребности в продукции, в том числе изменение характеристик продукции;</w:t>
      </w:r>
    </w:p>
    <w:p>
      <w:pPr>
        <w:pStyle w:val="-1"/>
        <w:numPr>
          <w:ilvl w:val="0"/>
          <w:numId w:val="20"/>
        </w:numPr>
        <w:tabs>
          <w:tab w:val="clear" w:pos="2552"/>
        </w:tabs>
        <w:ind w:left="2127" w:hanging="426"/>
        <w:rPr>
          <w:sz w:val="26"/>
          <w:szCs w:val="26"/>
        </w:rPr>
      </w:pPr>
      <w:r>
        <w:rPr>
          <w:sz w:val="26"/>
          <w:szCs w:val="26"/>
        </w:rPr>
        <w:t>при отсутствии заявок, соответствующих установленным требованиям, по результатам повторного проведения закупки.</w:t>
      </w:r>
    </w:p>
    <w:p>
      <w:pPr>
        <w:pStyle w:val="Style25"/>
        <w:rPr/>
      </w:pPr>
      <w:bookmarkStart w:id="228" w:name="_Toc228976023"/>
      <w:bookmarkStart w:id="229" w:name="_Ref126141962"/>
      <w:r>
        <w:rPr/>
        <w:t>Отказ от проведения закупки</w:t>
      </w:r>
      <w:bookmarkEnd w:id="229"/>
      <w:r>
        <w:rPr/>
        <w:t xml:space="preserve"> (отмена закупки)</w:t>
      </w:r>
      <w:bookmarkEnd w:id="228"/>
    </w:p>
    <w:p>
      <w:pPr>
        <w:pStyle w:val="Style26"/>
        <w:rPr/>
      </w:pPr>
      <w:r>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6"/>
        <w:rPr/>
      </w:pPr>
      <w:r>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6"/>
        <w:rPr/>
      </w:pPr>
      <w:r>
        <w:rPr/>
        <w:t>Дополнительно организатор уведомляет всех Участников об отмене закупки посредством ЭП.</w:t>
      </w:r>
    </w:p>
    <w:p>
      <w:pPr>
        <w:pStyle w:val="Style26"/>
        <w:rPr/>
      </w:pPr>
      <w:r>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5"/>
        <w:rPr/>
      </w:pPr>
      <w:bookmarkStart w:id="230" w:name="_Toc228976024"/>
      <w:bookmarkStart w:id="231" w:name="_Ref130455226"/>
      <w:r>
        <w:rPr/>
        <w:t>Особенности проведения закупки с необходимостью обеспечения заявки</w:t>
      </w:r>
      <w:bookmarkEnd w:id="230"/>
      <w:bookmarkEnd w:id="231"/>
    </w:p>
    <w:p>
      <w:pPr>
        <w:pStyle w:val="Style26"/>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обязанность Участников предоставить обеспечение заявки на участие в закупке.</w:t>
      </w:r>
    </w:p>
    <w:p>
      <w:pPr>
        <w:pStyle w:val="Style26"/>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6"/>
        <w:rPr/>
      </w:pPr>
      <w:r>
        <w:rPr/>
        <w:t>Обязательства Участников, связанные с подачей заявок, обеспечиваются в форме, порядке и размере в соответствии с подразделом </w:t>
      </w:r>
      <w:r>
        <w:rPr/>
        <w:fldChar w:fldCharType="begin"/>
      </w:r>
      <w:r>
        <w:rPr/>
        <w:instrText xml:space="preserve"> REF _Ref125359973 \r \h </w:instrText>
      </w:r>
      <w:r>
        <w:rPr/>
        <w:fldChar w:fldCharType="separate"/>
      </w:r>
      <w:r>
        <w:rPr/>
        <w:t>1.2</w:t>
      </w:r>
      <w:r>
        <w:rPr/>
        <w:fldChar w:fldCharType="end"/>
      </w:r>
      <w:r>
        <w:rPr/>
        <w:t>. Выбор формы (способа) обеспечения из числа предусмотренных осуществляется Участниками самостоятельно.</w:t>
      </w:r>
    </w:p>
    <w:p>
      <w:pPr>
        <w:pStyle w:val="Style26"/>
        <w:rPr/>
      </w:pPr>
      <w:r>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на индивидуальный счет, открытый Участнику Оператором ЭП в соответствии с Регламентом ЭП. В противном случае обеспечение заявки считается невнесенным, и Организатор обязан отклонить заявку такого Участника.</w:t>
      </w:r>
    </w:p>
    <w:p>
      <w:pPr>
        <w:pStyle w:val="Style26"/>
        <w:rPr/>
      </w:pPr>
      <w:r>
        <w:rPr/>
        <w:t>В случае выбора Участником обеспечения заявки путем предоставления банковской гарантии (в том числе электронной банковской гарантии, выданной посредством функционала ЭП), такая банковская гарантия составляется с учетом требований статей 368 – 378 ГК РФ, а также следующих условий:</w:t>
      </w:r>
    </w:p>
    <w:p>
      <w:pPr>
        <w:pStyle w:val="Style27"/>
        <w:rPr/>
      </w:pPr>
      <w:r>
        <w:rPr/>
        <w:t>банковская гарантия должна быть безотзывной и безусловной (гарантия по первому требованию);</w:t>
      </w:r>
    </w:p>
    <w:p>
      <w:pPr>
        <w:pStyle w:val="Style27"/>
        <w:rPr/>
      </w:pPr>
      <w:r>
        <w:rPr/>
        <w:t>сумма банковской гарантии должна быть выражена в российских рублях и составлять не менее суммы в размере, указанном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7"/>
        <w:rPr/>
      </w:pPr>
      <w:r>
        <w:rPr/>
        <w:t>банковская гарантия должна действовать не менее 120 (ста двадцати)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7"/>
        <w:rPr/>
      </w:pPr>
      <w:r>
        <w:rPr/>
        <w:t>бенефициаром в банковской гарантии должен быть указан Заказчик, принципалом – Участник, гарантом – банк, выдавший банковскую гарантию;</w:t>
      </w:r>
    </w:p>
    <w:p>
      <w:pPr>
        <w:pStyle w:val="Style27"/>
        <w:rPr/>
      </w:pPr>
      <w:r>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в пункте </w:t>
      </w:r>
      <w:r>
        <w:rPr/>
        <w:fldChar w:fldCharType="begin"/>
      </w:r>
      <w:r>
        <w:rPr/>
        <w:instrText xml:space="preserve"> REF _Ref228975690 \r \h </w:instrText>
      </w:r>
      <w:r>
        <w:rPr/>
        <w:fldChar w:fldCharType="separate"/>
      </w:r>
      <w:r>
        <w:rPr/>
        <w:t>4.17.11</w:t>
      </w:r>
      <w:r>
        <w:rPr/>
        <w:fldChar w:fldCharType="end"/>
      </w:r>
      <w:r>
        <w:rPr/>
        <w:t>;</w:t>
      </w:r>
    </w:p>
    <w:p>
      <w:pPr>
        <w:pStyle w:val="Style27"/>
        <w:rPr/>
      </w:pPr>
      <w:r>
        <w:rPr/>
        <w:t>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лица, подписавшего указанное требование (доверенность – в случае если требование подписано лицом, не указанным в ЕГРЮЛ в качестве лица, имеющего право без доверенности действовать от имени бенефициара), с указанием на существо допущенных Участником нарушений;</w:t>
      </w:r>
    </w:p>
    <w:p>
      <w:pPr>
        <w:pStyle w:val="Style27"/>
        <w:rPr/>
      </w:pPr>
      <w:r>
        <w:rPr/>
        <w:t>платеж по банковской гарантии должен быть осуществлен в течение 10 (десяти) рабочих дней после обращения бенефициара;</w:t>
      </w:r>
    </w:p>
    <w:p>
      <w:pPr>
        <w:pStyle w:val="Style27"/>
        <w:rPr/>
      </w:pPr>
      <w:r>
        <w:rPr/>
        <w:t>в банковской гарантии не должно быть условий или требований, противоречащих вышеизложенному или делающих вышеизложенное неисполнимым;</w:t>
      </w:r>
    </w:p>
    <w:p>
      <w:pPr>
        <w:pStyle w:val="Style27"/>
        <w:rPr/>
      </w:pPr>
      <w:r>
        <w:rPr/>
        <w:t>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rPr>
        <w:footnoteReference w:id="11"/>
      </w:r>
      <w:r>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w:t>
      </w:r>
    </w:p>
    <w:p>
      <w:pPr>
        <w:pStyle w:val="Style27"/>
        <w:rPr/>
      </w:pPr>
      <w:r>
        <w:rPr/>
        <w:t>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w:t>
      </w:r>
      <w:r>
        <w:rPr>
          <w:rStyle w:val="FootnoteReference"/>
        </w:rPr>
        <w:footnoteReference w:id="12"/>
      </w:r>
      <w:r>
        <w:rPr/>
        <w:t xml:space="preserve"> в качестве органа, компетентного разрешать споры из банковской гарантии.</w:t>
      </w:r>
    </w:p>
    <w:p>
      <w:pPr>
        <w:pStyle w:val="Style26"/>
        <w:rPr/>
      </w:pPr>
      <w:r>
        <w:rPr/>
        <w:t>В случае выбора Участником обеспечения заявки путем предоставления банковской гарантии, он должен предоставить в составе своей заявки копию такой гарантии (либо электронную банковскую гарантию, выданную банком посредством функционала ЭП),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6"/>
        <w:rPr/>
      </w:pPr>
      <w:r>
        <w:rPr/>
        <w:t>При многолотовой закупке (подраздел </w:t>
      </w:r>
      <w:r>
        <w:rPr/>
        <w:fldChar w:fldCharType="begin"/>
      </w:r>
      <w:r>
        <w:rPr/>
        <w:instrText xml:space="preserve"> REF _Ref149317314 \n \h </w:instrText>
      </w:r>
      <w:r>
        <w:rPr/>
        <w:fldChar w:fldCharType="separate"/>
      </w:r>
      <w:r>
        <w:rPr/>
        <w:t>4.18</w:t>
      </w:r>
      <w:r>
        <w:rPr/>
        <w:fldChar w:fldCharType="end"/>
      </w:r>
      <w:r>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6"/>
        <w:rPr/>
      </w:pPr>
      <w:r>
        <w:rPr/>
        <w:t>Подать заявку (принять участие в закупке) могут только Участники, предоставившие надлежащее обеспечение их заявок.</w:t>
      </w:r>
    </w:p>
    <w:p>
      <w:pPr>
        <w:pStyle w:val="Style26"/>
        <w:rPr/>
      </w:pPr>
      <w:r>
        <w:rPr/>
        <w:t>Требование об обеспечении заявки в равной мере распространяется на всех Участников.</w:t>
      </w:r>
    </w:p>
    <w:p>
      <w:pPr>
        <w:pStyle w:val="Style26"/>
        <w:keepNext w:val="true"/>
        <w:rPr/>
      </w:pPr>
      <w:r>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p>
    <w:p>
      <w:pPr>
        <w:pStyle w:val="Style27"/>
        <w:rPr/>
      </w:pPr>
      <w:r>
        <w:rPr/>
        <w:t>обязательство заключить Договор в установленном Документацией о закупке порядке (раздел </w:t>
      </w:r>
      <w:r>
        <w:rPr/>
        <w:fldChar w:fldCharType="begin"/>
      </w:r>
      <w:r>
        <w:rPr/>
        <w:instrText xml:space="preserve"> REF _Ref130224037 \r \h </w:instrText>
      </w:r>
      <w:r>
        <w:rPr/>
        <w:fldChar w:fldCharType="separate"/>
      </w:r>
      <w:r>
        <w:rPr/>
        <w:t>5</w:t>
      </w:r>
      <w:r>
        <w:rPr/>
        <w:fldChar w:fldCharType="end"/>
      </w:r>
      <w:r>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14"/>
          </w:rPr>
          <w:t>Приложение № 5</w:t>
        </w:r>
      </w:hyperlink>
      <w:r>
        <w:rPr/>
        <w:t>), а также предоставить иные документы в соответствии с условиями подраздела </w:t>
      </w:r>
      <w:r>
        <w:rPr/>
        <w:fldChar w:fldCharType="begin"/>
      </w:r>
      <w:r>
        <w:rPr/>
        <w:instrText xml:space="preserve"> REF _Ref138232981 \r \h </w:instrText>
      </w:r>
      <w:r>
        <w:rPr/>
        <w:fldChar w:fldCharType="separate"/>
      </w:r>
      <w:r>
        <w:rPr/>
        <w:t>5.2</w:t>
      </w:r>
      <w:r>
        <w:rPr/>
        <w:fldChar w:fldCharType="end"/>
      </w:r>
      <w:r>
        <w:rPr/>
        <w:t>;</w:t>
      </w:r>
    </w:p>
    <w:p>
      <w:pPr>
        <w:pStyle w:val="Style27"/>
        <w:rPr/>
      </w:pPr>
      <w:r>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14"/>
          </w:rPr>
          <w:t>Проект договора (Приложение № 2)</w:t>
        </w:r>
      </w:hyperlink>
      <w:r>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14"/>
          </w:rPr>
          <w:t>Проектом договора</w:t>
        </w:r>
      </w:hyperlink>
      <w:r>
        <w:rPr/>
        <w:t>).</w:t>
      </w:r>
    </w:p>
    <w:p>
      <w:pPr>
        <w:pStyle w:val="Style26"/>
        <w:rPr/>
      </w:pPr>
      <w:bookmarkStart w:id="232" w:name="_Ref228975690"/>
      <w:r>
        <w:rPr/>
        <w:t>В случае невыполнения Победителем указанных выше обязательств Организатор вправе удержать обеспечение заявки путем обращения в соответствующий Банк-гарант. В случае предоставления Участником обеспечения в виде денежных средств, Организатор вправе удержать обеспечение заявки со счета, открытого ему Оператором ЭП, в соответствии с регламентом ЭП.</w:t>
      </w:r>
      <w:bookmarkEnd w:id="232"/>
    </w:p>
    <w:p>
      <w:pPr>
        <w:pStyle w:val="Style26"/>
        <w:keepNext w:val="true"/>
        <w:rPr/>
      </w:pPr>
      <w:r>
        <w:rPr/>
        <w:t>Возврат обеспечения заявки (в случае предоставления Участником обеспечения в виде денежных средств) осуществляется Организатором в срок не более 20 (двадцати) рабочих дней с даты:</w:t>
      </w:r>
    </w:p>
    <w:p>
      <w:pPr>
        <w:pStyle w:val="Style27"/>
        <w:rPr/>
      </w:pPr>
      <w:r>
        <w:rPr/>
        <w:t>принятия решения об отказе от проведения закупки – всем Участникам, подавшим заявки к моменту принятия такого решения;</w:t>
      </w:r>
    </w:p>
    <w:p>
      <w:pPr>
        <w:pStyle w:val="Style27"/>
        <w:rPr/>
      </w:pPr>
      <w:r>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7"/>
        <w:rPr/>
      </w:pPr>
      <w:r>
        <w:rPr/>
        <w:t>официального размещения протокола рассмотрения заявок (при условии его оформления) – Участникам, чьи заявки были отклонены;</w:t>
      </w:r>
    </w:p>
    <w:p>
      <w:pPr>
        <w:pStyle w:val="Style27"/>
        <w:rPr/>
      </w:pPr>
      <w:r>
        <w:rPr/>
        <w:t>официального размещения итогового протокола по результатам закупки – всем Участникам, кроме Победителя;</w:t>
      </w:r>
    </w:p>
    <w:p>
      <w:pPr>
        <w:pStyle w:val="Style27"/>
        <w:rPr/>
      </w:pPr>
      <w:r>
        <w:rPr/>
        <w:t>заключения Договора по результатам закупки – Победителю, с которым заключен Договор;</w:t>
      </w:r>
    </w:p>
    <w:p>
      <w:pPr>
        <w:pStyle w:val="Style27"/>
        <w:rPr/>
      </w:pPr>
      <w:r>
        <w:rPr/>
        <w:t>признания закупки несостоявшейся – Участнику, которому обеспечение не было возвращено по иным основаниям.</w:t>
      </w:r>
    </w:p>
    <w:p>
      <w:pPr>
        <w:pStyle w:val="Style26"/>
        <w:rPr/>
      </w:pPr>
      <w:r>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fldChar w:fldCharType="begin"/>
      </w:r>
      <w:r>
        <w:rPr/>
        <w:instrText xml:space="preserve"> REF _Ref125363536 \r \h </w:instrText>
      </w:r>
      <w:r>
        <w:rPr/>
        <w:fldChar w:fldCharType="separate"/>
      </w:r>
      <w:r>
        <w:rPr/>
        <w:t>2.3</w:t>
      </w:r>
      <w:r>
        <w:rPr/>
        <w:fldChar w:fldCharType="end"/>
      </w:r>
      <w:r>
        <w:rP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pPr>
        <w:pStyle w:val="Style25"/>
        <w:rPr/>
      </w:pPr>
      <w:bookmarkStart w:id="233" w:name="_Ref130225422"/>
      <w:bookmarkStart w:id="234" w:name="_Toc228976025"/>
      <w:bookmarkStart w:id="235" w:name="_Ref149317314"/>
      <w:r>
        <w:rPr/>
        <w:t>Особенности проведения многолотовой закупки</w:t>
      </w:r>
      <w:bookmarkEnd w:id="233"/>
      <w:bookmarkEnd w:id="234"/>
      <w:bookmarkEnd w:id="235"/>
    </w:p>
    <w:p>
      <w:pPr>
        <w:pStyle w:val="Style26"/>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проведение многолотовой закупки.</w:t>
      </w:r>
    </w:p>
    <w:p>
      <w:pPr>
        <w:pStyle w:val="Style26"/>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6"/>
        <w:rPr/>
      </w:pPr>
      <w:r>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rPr/>
        <w:t>указан номер конкретного лота, относятся ко всем лотам одновременно.</w:t>
      </w:r>
    </w:p>
    <w:p>
      <w:pPr>
        <w:pStyle w:val="Style26"/>
        <w:rPr/>
      </w:pPr>
      <w:r>
        <w:rPr/>
        <w:t>Участник может подать одну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p>
    <w:p>
      <w:pPr>
        <w:pStyle w:val="Style26"/>
        <w:keepNext w:val="true"/>
        <w:rPr/>
      </w:pPr>
      <w:r>
        <w:rPr/>
        <w:t>В случае подачи заявки на несколько лотов дополнительно должны быть соблюдены следующие требования:</w:t>
      </w:r>
    </w:p>
    <w:p>
      <w:pPr>
        <w:pStyle w:val="Style27"/>
        <w:rPr/>
      </w:pPr>
      <w:r>
        <w:rPr/>
        <w:t>Письмо о подаче оферты (форма 2) (</w:t>
      </w:r>
      <w:hyperlink w:anchor="Прил04_ФормыЗаявки">
        <w:r>
          <w:rPr>
            <w:rStyle w:val="Style14"/>
          </w:rPr>
          <w:t>Приложение № 4</w:t>
        </w:r>
      </w:hyperlink>
      <w:r>
        <w:rPr/>
        <w:t>) должно содержать указание номера и названия каждого лота, по каждому лоту должна быть указана его стоимость;</w:t>
      </w:r>
    </w:p>
    <w:p>
      <w:pPr>
        <w:pStyle w:val="Style27"/>
        <w:rPr/>
      </w:pPr>
      <w:r>
        <w:rPr/>
        <w:t xml:space="preserve">Коммерческое предложение (форма 3), Техническое предложение (форма 4), План распределения объемов поставки продукции (форма 10) – </w:t>
      </w:r>
      <w:hyperlink w:anchor="Прил04_ФормыЗаявки">
        <w:r>
          <w:rPr>
            <w:rStyle w:val="Style14"/>
          </w:rPr>
          <w:t>Приложение № 4</w:t>
        </w:r>
      </w:hyperlink>
      <w:r>
        <w:rPr/>
        <w:t>, должны быть подготовлены отдельно по каждому из лотов с указанием номера и названия лота.</w:t>
      </w:r>
    </w:p>
    <w:p>
      <w:pPr>
        <w:pStyle w:val="Style26"/>
        <w:rPr/>
      </w:pPr>
      <w:r>
        <w:rPr/>
        <w:t>Решения, принимаемые в ходе процедуры закупки, в том числе решения в рамках рассмотрения,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24"/>
        <w:rPr/>
      </w:pPr>
      <w:bookmarkStart w:id="236" w:name="_Ref125367087"/>
      <w:bookmarkStart w:id="237" w:name="_Ref125367083"/>
      <w:bookmarkStart w:id="238" w:name="_Ref125366769"/>
      <w:bookmarkStart w:id="239" w:name="_Ref125363439"/>
      <w:bookmarkStart w:id="240" w:name="_Ref125362671"/>
      <w:bookmarkStart w:id="241" w:name="_Ref125361212"/>
      <w:bookmarkStart w:id="242" w:name="_Toc228976026"/>
      <w:bookmarkStart w:id="243" w:name="_Ref130224037"/>
      <w:bookmarkStart w:id="244" w:name="_Ref126142429"/>
      <w:r>
        <w:rPr/>
        <w:t>Порядок заключения Договора</w:t>
      </w:r>
      <w:bookmarkEnd w:id="236"/>
      <w:bookmarkEnd w:id="237"/>
      <w:bookmarkEnd w:id="238"/>
      <w:bookmarkEnd w:id="239"/>
      <w:bookmarkEnd w:id="240"/>
      <w:bookmarkEnd w:id="241"/>
      <w:bookmarkEnd w:id="242"/>
      <w:bookmarkEnd w:id="243"/>
      <w:bookmarkEnd w:id="244"/>
    </w:p>
    <w:p>
      <w:pPr>
        <w:pStyle w:val="Style25"/>
        <w:rPr/>
      </w:pPr>
      <w:bookmarkStart w:id="245" w:name="_Toc228976027"/>
      <w:bookmarkStart w:id="246" w:name="_Ref139028625"/>
      <w:r>
        <w:rPr/>
        <w:t>Общие положения</w:t>
      </w:r>
      <w:bookmarkEnd w:id="245"/>
      <w:bookmarkEnd w:id="246"/>
    </w:p>
    <w:p>
      <w:pPr>
        <w:pStyle w:val="Style26"/>
        <w:rPr/>
      </w:pPr>
      <w:r>
        <w:rPr/>
        <w:t>Нормы настоящего раздела </w:t>
      </w:r>
      <w:r>
        <w:rPr/>
        <w:fldChar w:fldCharType="begin"/>
      </w:r>
      <w:r>
        <w:rPr/>
        <w:instrText xml:space="preserve"> REF _Ref126142429 \r \h </w:instrText>
      </w:r>
      <w:r>
        <w:rPr/>
        <w:fldChar w:fldCharType="separate"/>
      </w:r>
      <w:r>
        <w:rPr/>
        <w:t>5</w:t>
      </w:r>
      <w:r>
        <w:rPr/>
        <w:fldChar w:fldCharType="end"/>
      </w:r>
      <w:r>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5"/>
        <w:rPr/>
      </w:pPr>
      <w:bookmarkStart w:id="247" w:name="_Ref135736094"/>
      <w:bookmarkStart w:id="248" w:name="_Ref125368755"/>
      <w:bookmarkStart w:id="249" w:name="_Ref125366947"/>
      <w:bookmarkStart w:id="250" w:name="_Toc228976028"/>
      <w:bookmarkStart w:id="251" w:name="_Ref138232981"/>
      <w:r>
        <w:rPr/>
        <w:t>Заключение Договора</w:t>
      </w:r>
      <w:bookmarkEnd w:id="247"/>
      <w:bookmarkEnd w:id="248"/>
      <w:bookmarkEnd w:id="249"/>
      <w:bookmarkEnd w:id="250"/>
      <w:bookmarkEnd w:id="251"/>
    </w:p>
    <w:p>
      <w:pPr>
        <w:pStyle w:val="Style26"/>
        <w:rPr/>
      </w:pPr>
      <w:bookmarkStart w:id="252" w:name="_Ref130293821"/>
      <w:bookmarkStart w:id="253" w:name="_Ref125362935"/>
      <w:r>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52"/>
      <w:bookmarkEnd w:id="253"/>
    </w:p>
    <w:p>
      <w:pPr>
        <w:pStyle w:val="Style26"/>
        <w:rPr/>
      </w:pPr>
      <w:r>
        <w:rPr/>
        <w:t>Договор не может быть заключен, если это запрещено законодательством о национальном режиме .</w:t>
      </w:r>
    </w:p>
    <w:p>
      <w:pPr>
        <w:pStyle w:val="Style26"/>
        <w:rPr/>
      </w:pPr>
      <w:r>
        <w:rPr/>
        <w:t>При осуществлении закупки товара (в том числе поставляемого Заказчику при выполнении работ, оказании услуг) в Договор при его заключении включается информация о стране происхождения товара.</w:t>
      </w:r>
    </w:p>
    <w:p>
      <w:pPr>
        <w:pStyle w:val="Style26"/>
        <w:rPr/>
      </w:pPr>
      <w:bookmarkStart w:id="254" w:name="_Ref125363464"/>
      <w:bookmarkStart w:id="255" w:name="_Hlk207281494"/>
      <w:r>
        <w:rPr/>
        <w:t xml:space="preserve">В целях </w:t>
      </w:r>
      <w:r>
        <w:rPr>
          <w:rFonts w:eastAsia="Calibri" w:cs="Times New Roman"/>
        </w:rPr>
        <w:t>обеспечения дополнительной прозрачности финансово-хозяйственной деятельности сторон при</w:t>
      </w:r>
      <w:r>
        <w:rPr/>
        <w:t xml:space="preserve"> заключения Договора </w:t>
      </w:r>
      <w:r>
        <w:rPr>
          <w:rFonts w:eastAsia="Calibri" w:cs="Times New Roman"/>
        </w:rPr>
        <w:t>в части отсутствия возможного конфликта интересов между Заказчиком и</w:t>
      </w:r>
      <w:r>
        <w:rPr/>
        <w:t xml:space="preserve"> Участником, признанным Победителем, последний обязан направить в адрес Заказчика Справку «Сведения о цепочке собственников, включая бенефициаров (в том числе конечных)», по форме в соответствии с </w:t>
      </w:r>
      <w:hyperlink w:anchor="Прил05_ФормыПобедителя">
        <w:r>
          <w:rPr>
            <w:rStyle w:val="Style14"/>
          </w:rPr>
          <w:t>Приложением № 5</w:t>
        </w:r>
      </w:hyperlink>
      <w:r>
        <w:rPr/>
        <w:t>, с приложением подтверждающих документов согласно перечню, установленному в Приложении 1 к указанной справке, одним из способов (на выбор):</w:t>
      </w:r>
    </w:p>
    <w:p>
      <w:pPr>
        <w:pStyle w:val="Style26"/>
        <w:numPr>
          <w:ilvl w:val="0"/>
          <w:numId w:val="17"/>
        </w:numPr>
        <w:ind w:left="1701" w:hanging="567"/>
        <w:rPr/>
      </w:pPr>
      <w:r>
        <w:rPr/>
        <w:t>в бумажной форме: по адресу, определенному в подразделе </w:t>
      </w:r>
      <w:r>
        <w:rPr/>
        <w:fldChar w:fldCharType="begin"/>
      </w:r>
      <w:r>
        <w:rPr/>
        <w:instrText xml:space="preserve"> REF _Ref125359973 \r \h </w:instrText>
      </w:r>
      <w:r>
        <w:rPr/>
        <w:fldChar w:fldCharType="separate"/>
      </w:r>
      <w:r>
        <w:rPr/>
        <w:t>1.2</w:t>
      </w:r>
      <w:r>
        <w:rPr/>
        <w:fldChar w:fldCharType="end"/>
      </w:r>
      <w:r>
        <w:rPr/>
        <w:t xml:space="preserve"> как место подачи документов в отношении цепочки собственников, включая конечных бенефициаров (в срок не позднее 3 (трех) рабочих дней с даты официального размещения Организатором итогового протокола по результатам закупки). Требуемые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55"/>
    </w:p>
    <w:p>
      <w:pPr>
        <w:pStyle w:val="Style26"/>
        <w:numPr>
          <w:ilvl w:val="0"/>
          <w:numId w:val="17"/>
        </w:numPr>
        <w:ind w:left="1701" w:hanging="567"/>
        <w:rPr/>
      </w:pPr>
      <w:r>
        <w:rPr/>
        <w:t xml:space="preserve">в электронной форме: через специально созданную на корпоративном сайте ПАО «РусГидро» учетную запись Победителя </w:t>
      </w:r>
      <w:r>
        <w:rPr>
          <w:rFonts w:eastAsia="Calibri" w:cs="Times New Roman"/>
        </w:rPr>
        <w:t>в «Личном кабинете контрагента»</w:t>
      </w:r>
      <w:r>
        <w:rPr/>
        <w:t xml:space="preserve"> (в срок не позднее 3 (трех) рабочих дней с даты получения уведомления о необходимости предоставить информацию о </w:t>
      </w:r>
      <w:r>
        <w:rPr>
          <w:rFonts w:eastAsia="Calibri" w:cs="Times New Roman"/>
        </w:rPr>
        <w:t>цепочке собственников, включая бенефициаров (в том числе конечных)</w:t>
      </w:r>
      <w:r>
        <w:rPr/>
        <w:t>. Уведомление (со ссылкой на учетную запись) направляется на указанный в заявке Победителя (в Анкете Участника (форма 5) (</w:t>
      </w:r>
      <w:hyperlink w:anchor="Прил04_ФормыЗаявки">
        <w:r>
          <w:rPr>
            <w:rStyle w:val="Style14"/>
          </w:rPr>
          <w:t>Приложения № 4</w:t>
        </w:r>
      </w:hyperlink>
      <w:r>
        <w:rPr/>
        <w:t>)) адрес электронной почты ответственного лица).</w:t>
      </w:r>
      <w:bookmarkEnd w:id="254"/>
    </w:p>
    <w:p>
      <w:pPr>
        <w:pStyle w:val="Style26"/>
        <w:keepNext w:val="true"/>
        <w:rPr/>
      </w:pPr>
      <w:bookmarkStart w:id="256" w:name="_Ref172285604"/>
      <w:bookmarkStart w:id="257" w:name="_Ref125551776"/>
      <w:r>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(скан-копии в формате </w:t>
      </w:r>
      <w:bookmarkStart w:id="258" w:name="_Hlk207281699"/>
      <w:r>
        <w:rPr/>
        <w:t xml:space="preserve">Portable Document Format </w:t>
      </w:r>
      <w:bookmarkEnd w:id="258"/>
      <w:r>
        <w:rPr/>
        <w:t>(*.</w:t>
      </w:r>
      <w:r>
        <w:rPr>
          <w:lang w:val="en-US"/>
        </w:rPr>
        <w:t>pdf</w:t>
      </w:r>
      <w:r>
        <w:rPr/>
        <w:t>))</w:t>
      </w:r>
      <w:bookmarkEnd w:id="257"/>
      <w:r>
        <w:rPr/>
        <w:t>:</w:t>
      </w:r>
      <w:bookmarkEnd w:id="256"/>
    </w:p>
    <w:p>
      <w:pPr>
        <w:pStyle w:val="Style27"/>
        <w:rPr/>
      </w:pPr>
      <w:r>
        <w:rPr/>
        <w:t xml:space="preserve">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4"/>
          </w:rPr>
          <w:t>Приложением № 5</w:t>
        </w:r>
      </w:hyperlink>
      <w:r>
        <w:rPr/>
        <w:t>;</w:t>
      </w:r>
    </w:p>
    <w:p>
      <w:pPr>
        <w:pStyle w:val="Style27"/>
        <w:rPr/>
      </w:pPr>
      <w:r>
        <w:rPr/>
        <w:t>документы своей заявки, подлежащие корректировке в строгом соответствии с его наилучшим ценовым предложением, заявленным в ходе проведения аукциона (подраздел </w:t>
      </w:r>
      <w:r>
        <w:rPr/>
        <w:fldChar w:fldCharType="begin"/>
      </w:r>
      <w:r>
        <w:rPr/>
        <w:instrText xml:space="preserve"> REF _Ref149223728 \r \h </w:instrText>
      </w:r>
      <w:r>
        <w:rPr/>
        <w:fldChar w:fldCharType="separate"/>
      </w:r>
      <w:r>
        <w:rPr/>
        <w:t>4.11</w:t>
      </w:r>
      <w:r>
        <w:rPr/>
        <w:fldChar w:fldCharType="end"/>
      </w:r>
      <w:r>
        <w:rPr/>
        <w:t>).</w:t>
      </w:r>
    </w:p>
    <w:p>
      <w:pPr>
        <w:pStyle w:val="Style26"/>
        <w:keepNext w:val="true"/>
        <w:rPr/>
      </w:pPr>
      <w:bookmarkStart w:id="259" w:name="_Ref125551072"/>
      <w:r>
        <w:rPr/>
        <w:t>Перед заключением Договора Победитель обязан предоставить Заказчику, не позднее сроков, установленных в пункте </w:t>
      </w:r>
      <w:r>
        <w:rPr/>
        <w:fldChar w:fldCharType="begin"/>
      </w:r>
      <w:r>
        <w:rPr/>
        <w:instrText xml:space="preserve"> REF _Ref130293821 \w \h </w:instrText>
      </w:r>
      <w:r>
        <w:rPr/>
        <w:fldChar w:fldCharType="separate"/>
      </w:r>
      <w:r>
        <w:rPr/>
        <w:t>5.2.1</w:t>
      </w:r>
      <w:r>
        <w:rPr/>
        <w:fldChar w:fldCharType="end"/>
      </w:r>
      <w:r>
        <w:rPr/>
        <w:t>, в целях подтверждения своего соответствия обязательному требованию к Участникам, указанному в пункте </w:t>
      </w:r>
      <w:r>
        <w:rPr/>
        <w:fldChar w:fldCharType="begin"/>
      </w:r>
      <w:r>
        <w:rPr/>
        <w:instrText xml:space="preserve"> REF _Ref125552433 \w \h </w:instrText>
      </w:r>
      <w:r>
        <w:rPr/>
        <w:fldChar w:fldCharType="separate"/>
      </w:r>
      <w:r>
        <w:rPr/>
        <w:t>1</w:t>
      </w:r>
      <w:r>
        <w:rPr/>
        <w:fldChar w:fldCharType="end"/>
      </w:r>
      <w:r>
        <w:rPr/>
        <w:t xml:space="preserve"> подраздела </w:t>
      </w:r>
      <w:r>
        <w:rPr/>
        <w:fldChar w:fldCharType="begin"/>
      </w:r>
      <w:r>
        <w:rPr/>
        <w:instrText xml:space="preserve"> REF _Ref125361435 \w \h </w:instrText>
      </w:r>
      <w:r>
        <w:rPr/>
        <w:fldChar w:fldCharType="separate"/>
      </w:r>
      <w:r>
        <w:rPr/>
        <w:t>8.2</w:t>
      </w:r>
      <w:r>
        <w:rPr/>
        <w:fldChar w:fldCharType="end"/>
      </w:r>
      <w:r>
        <w:rPr/>
        <w:t xml:space="preserve"> (</w:t>
      </w:r>
      <w:hyperlink w:anchor="Прил03_ТребованияУчастникам">
        <w:r>
          <w:rPr>
            <w:rStyle w:val="Style14"/>
          </w:rPr>
          <w:t>Приложение № 3</w:t>
        </w:r>
      </w:hyperlink>
      <w:r>
        <w:rPr/>
        <w:t>), следующие документы (скан-копии в формате Portable Document Format (*.</w:t>
      </w:r>
      <w:r>
        <w:rPr>
          <w:lang w:val="en-US"/>
        </w:rPr>
        <w:t>pdf</w:t>
      </w:r>
      <w:r>
        <w:rPr/>
        <w:t>))</w:t>
      </w:r>
      <w:r>
        <w:rPr>
          <w:rStyle w:val="FootnoteReference"/>
        </w:rPr>
        <w:footnoteReference w:id="13"/>
      </w:r>
      <w:r>
        <w:rPr/>
        <w:t>:</w:t>
      </w:r>
      <w:bookmarkEnd w:id="259"/>
    </w:p>
    <w:p>
      <w:pPr>
        <w:pStyle w:val="Style27"/>
        <w:keepNext w:val="true"/>
        <w:rPr/>
      </w:pPr>
      <w:r>
        <w:rPr/>
        <w:t>для юридического лица:</w:t>
      </w:r>
    </w:p>
    <w:p>
      <w:pPr>
        <w:pStyle w:val="Style28"/>
        <w:rPr/>
      </w:pPr>
      <w:r>
        <w:rPr/>
        <w:t>копия устава в действующей редакции с отметкой ИФНС либо копия нотариально заверенного устава (с отметкой нотариуса);</w:t>
      </w:r>
    </w:p>
    <w:p>
      <w:pPr>
        <w:pStyle w:val="Style28"/>
        <w:rPr/>
      </w:pPr>
      <w:bookmarkStart w:id="260" w:name="_Ref125638686"/>
      <w:r>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60"/>
    </w:p>
    <w:p>
      <w:pPr>
        <w:pStyle w:val="Style28"/>
        <w:rPr/>
      </w:pPr>
      <w:r>
        <w:rPr/>
        <w:t>если договор подписывается лицом, действующим на основании доверенности, дополнительно предоставляется соответствующая доверенность либо ее нотариально заверенная копия (с указанием правомочий на подписание договора) и документы, подтверждающие соответствующие полномочия лица, выдавшего доверенность;</w:t>
      </w:r>
    </w:p>
    <w:p>
      <w:pPr>
        <w:pStyle w:val="Style28"/>
        <w:rPr/>
      </w:pPr>
      <w:r>
        <w:rPr/>
        <w:t>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 которых проводится закупка);</w:t>
      </w:r>
    </w:p>
    <w:p>
      <w:pPr>
        <w:pStyle w:val="Style27"/>
        <w:rPr/>
      </w:pPr>
      <w:r>
        <w:rPr/>
        <w:t>для лица, зарегистрированного вне Российской Федерации: выписка из торгового реестра страны регистрации иностранного Участника;</w:t>
      </w:r>
    </w:p>
    <w:p>
      <w:pPr>
        <w:pStyle w:val="Style27"/>
        <w:rPr/>
      </w:pPr>
      <w:r>
        <w:rPr/>
        <w:t>для физического лица: нотариально заверенная копия всех страниц документа, удостоверяющего личность (паспорта);</w:t>
      </w:r>
    </w:p>
    <w:p>
      <w:pPr>
        <w:pStyle w:val="Style27"/>
        <w:rPr/>
      </w:pPr>
      <w:bookmarkStart w:id="261" w:name="_Ref125361554"/>
      <w:r>
        <w:rPr/>
        <w:t>если Договор заключается с лидером Коллективного участника, то в обязательном порядке предоставляется оригинал и (или) нотариально заверенная копия Соглашения между членами Коллективного участника, указанного в пункте </w:t>
      </w:r>
      <w:r>
        <w:rPr/>
        <w:fldChar w:fldCharType="begin"/>
      </w:r>
      <w:r>
        <w:rPr/>
        <w:instrText xml:space="preserve"> REF _Ref125366972 \r \h </w:instrText>
      </w:r>
      <w:r>
        <w:rPr/>
        <w:fldChar w:fldCharType="separate"/>
      </w:r>
      <w:r>
        <w:rPr/>
        <w:t>3.2.3</w:t>
      </w:r>
      <w:r>
        <w:rPr/>
        <w:fldChar w:fldCharType="end"/>
      </w:r>
      <w:r>
        <w:rPr/>
        <w:t>.</w:t>
      </w:r>
      <w:bookmarkEnd w:id="261"/>
    </w:p>
    <w:p>
      <w:pPr>
        <w:pStyle w:val="Style26"/>
        <w:rPr/>
      </w:pPr>
      <w:r>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6"/>
        <w:rPr/>
      </w:pPr>
      <w:r>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6"/>
        <w:keepNext w:val="true"/>
        <w:rPr/>
      </w:pPr>
      <w:bookmarkStart w:id="262" w:name="_Ref132288402"/>
      <w:r>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62"/>
    </w:p>
    <w:p>
      <w:pPr>
        <w:pStyle w:val="Style27"/>
        <w:rPr/>
      </w:pPr>
      <w:r>
        <w:rPr/>
        <w:t>протокол преддоговорных переговоров между Заказчиком и Победителем (при проведении таковых);</w:t>
      </w:r>
    </w:p>
    <w:p>
      <w:pPr>
        <w:pStyle w:val="Style27"/>
        <w:rPr/>
      </w:pPr>
      <w:r>
        <w:rPr/>
        <w:t>итоговый протокол по результатам закупки;</w:t>
      </w:r>
    </w:p>
    <w:p>
      <w:pPr>
        <w:pStyle w:val="Style27"/>
        <w:rPr/>
      </w:pPr>
      <w:r>
        <w:rPr/>
        <w:t>Извещение и Документация о закупке со всеми изменениями;</w:t>
      </w:r>
    </w:p>
    <w:p>
      <w:pPr>
        <w:pStyle w:val="Style27"/>
        <w:rPr/>
      </w:pPr>
      <w:r>
        <w:rPr/>
        <w:t>заявка Победителя со всеми дополнениями и разъяснениями.</w:t>
      </w:r>
    </w:p>
    <w:p>
      <w:pPr>
        <w:pStyle w:val="Style26"/>
        <w:rPr/>
      </w:pPr>
      <w:bookmarkStart w:id="263" w:name="_Ref125368506"/>
      <w:r>
        <w:rPr/>
        <w:t>Сведения о заключенном Договоре в течение 3 (трех) рабочих дней со дня заключения такого Договора вносятся Заказчиком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Заказчиком в ЕИС (если размещение таких сведений допустимо Законом 223-ФЗ).</w:t>
      </w:r>
      <w:bookmarkEnd w:id="263"/>
    </w:p>
    <w:p>
      <w:pPr>
        <w:pStyle w:val="Style26"/>
        <w:keepNext w:val="true"/>
        <w:rPr/>
      </w:pPr>
      <w:bookmarkStart w:id="264" w:name="_Ref125552524"/>
      <w:r>
        <w:rPr/>
        <w:t>Если Договор заключается в электронной форме:</w:t>
      </w:r>
    </w:p>
    <w:p>
      <w:pPr>
        <w:pStyle w:val="Style27"/>
        <w:rPr/>
      </w:pPr>
      <w:r>
        <w:rPr/>
        <w:t>то он заключается с использованием Системы ЭДО, в 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 особенностях заключения Договора в электронной форме, содержатся в подразделе </w:t>
      </w:r>
      <w:r>
        <w:rPr/>
        <w:fldChar w:fldCharType="begin"/>
      </w:r>
      <w:r>
        <w:rPr/>
        <w:instrText xml:space="preserve"> REF _Ref125359973 \r \h </w:instrText>
      </w:r>
      <w:r>
        <w:rPr/>
        <w:fldChar w:fldCharType="separate"/>
      </w:r>
      <w:r>
        <w:rPr/>
        <w:t>1.2</w:t>
      </w:r>
      <w:r>
        <w:rPr/>
        <w:fldChar w:fldCharType="end"/>
      </w:r>
      <w:bookmarkEnd w:id="264"/>
      <w:r>
        <w:rPr/>
        <w:t>;</w:t>
      </w:r>
    </w:p>
    <w:p>
      <w:pPr>
        <w:pStyle w:val="Style27"/>
        <w:rPr/>
      </w:pPr>
      <w:r>
        <w:rPr/>
        <w:t>Заказчик в течение установленного в пункте </w:t>
      </w:r>
      <w:r>
        <w:rPr/>
        <w:fldChar w:fldCharType="begin"/>
      </w:r>
      <w:r>
        <w:rPr/>
        <w:instrText xml:space="preserve"> REF _Ref130293821 \r \h </w:instrText>
      </w:r>
      <w:r>
        <w:rPr/>
        <w:fldChar w:fldCharType="separate"/>
      </w:r>
      <w:r>
        <w:rPr/>
        <w:t>5.2.1</w:t>
      </w:r>
      <w:r>
        <w:rPr/>
        <w:fldChar w:fldCharType="end"/>
      </w:r>
      <w:r>
        <w:rPr/>
        <w:t xml:space="preserve"> срока направляет в адрес Победителя подписанный со своей стороны Проект договора с использованием функционала Системы ЭДО.</w:t>
      </w:r>
    </w:p>
    <w:p>
      <w:pPr>
        <w:pStyle w:val="Style26"/>
        <w:rPr/>
      </w:pPr>
      <w:r>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5"/>
        <w:rPr/>
      </w:pPr>
      <w:bookmarkStart w:id="265" w:name="_Toc228976029"/>
      <w:bookmarkStart w:id="266" w:name="_Ref125552570"/>
      <w:r>
        <w:rPr/>
        <w:t>Преддоговорные переговоры</w:t>
      </w:r>
      <w:bookmarkEnd w:id="265"/>
      <w:bookmarkEnd w:id="266"/>
    </w:p>
    <w:p>
      <w:pPr>
        <w:pStyle w:val="Style26"/>
        <w:keepNext w:val="true"/>
        <w:rPr/>
      </w:pPr>
      <w:r>
        <w:rPr/>
        <w:t>Проведение преддоговорных переговоров между Заказчиком и Победителем допускается только в отношении следующих вопросов:</w:t>
      </w:r>
    </w:p>
    <w:p>
      <w:pPr>
        <w:pStyle w:val="Style27"/>
        <w:rPr/>
      </w:pPr>
      <w:r>
        <w:rPr/>
        <w:t>снижение цены Договора (при этом объем закупаемой продукции, а также технические характеристики продукции, определенные в Документации о закупке и заявке Победителя, остаются неизменными);</w:t>
      </w:r>
    </w:p>
    <w:p>
      <w:pPr>
        <w:pStyle w:val="Style27"/>
        <w:rPr/>
      </w:pPr>
      <w:r>
        <w:rPr/>
        <w:t>увеличение объема закупаемой продукции (при этом цена Договора и технические характеристики продукции, определенные в Документации о закупке и заявке Победителя, остаются неизменными);</w:t>
      </w:r>
    </w:p>
    <w:p>
      <w:pPr>
        <w:pStyle w:val="Style27"/>
        <w:rPr/>
      </w:pPr>
      <w:r>
        <w:rPr/>
        <w:t>уточнение сроков исполнения обязательств по Договору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уставом и (или) локальными нормативными актами Заказчика);</w:t>
      </w:r>
    </w:p>
    <w:p>
      <w:pPr>
        <w:pStyle w:val="Style27"/>
        <w:rPr/>
      </w:pPr>
      <w:r>
        <w:rP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pPr>
        <w:pStyle w:val="Style27"/>
        <w:rPr/>
      </w:pPr>
      <w:r>
        <w:rP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pPr>
        <w:pStyle w:val="Style26"/>
        <w:rPr/>
      </w:pPr>
      <w:r>
        <w:rPr/>
        <w:t>В любом случае не допускаются переговоры, направленные на изменение условий заключаемого Договора, которые ведут к ухудшению его условий для Заказчика.</w:t>
      </w:r>
    </w:p>
    <w:p>
      <w:pPr>
        <w:pStyle w:val="Style26"/>
        <w:rPr/>
      </w:pPr>
      <w:r>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и (или) Организатор.</w:t>
      </w:r>
    </w:p>
    <w:p>
      <w:pPr>
        <w:pStyle w:val="Style26"/>
        <w:rPr/>
      </w:pPr>
      <w:r>
        <w:rPr/>
        <w:t>Результаты преддоговорных переговоров фиксируются в форме протокола</w:t>
      </w:r>
      <w:r>
        <w:rPr>
          <w:rStyle w:val="FootnoteReference"/>
        </w:rPr>
        <w:footnoteReference w:id="14"/>
      </w:r>
      <w:r>
        <w:rPr/>
        <w:t>,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p>
    <w:p>
      <w:pPr>
        <w:pStyle w:val="Style26"/>
        <w:rPr/>
      </w:pPr>
      <w:r>
        <w:rPr/>
        <w:t>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rPr/>
        <w:fldChar w:fldCharType="begin"/>
      </w:r>
      <w:r>
        <w:rPr/>
        <w:instrText xml:space="preserve"> REF _Ref132288402 \r \h </w:instrText>
      </w:r>
      <w:r>
        <w:rPr/>
        <w:fldChar w:fldCharType="separate"/>
      </w:r>
      <w:r>
        <w:rPr/>
        <w:t>5.2.9</w:t>
      </w:r>
      <w:r>
        <w:rPr/>
        <w:fldChar w:fldCharType="end"/>
      </w:r>
      <w:r>
        <w:rPr/>
        <w:t>.</w:t>
      </w:r>
    </w:p>
    <w:p>
      <w:pPr>
        <w:pStyle w:val="Style25"/>
        <w:rPr/>
      </w:pPr>
      <w:bookmarkStart w:id="267" w:name="_Toc228976030"/>
      <w:bookmarkStart w:id="268" w:name="_Ref125367068"/>
      <w:r>
        <w:rPr/>
        <w:t>Уклонение Победителя от заключения Договора</w:t>
      </w:r>
      <w:bookmarkEnd w:id="267"/>
      <w:bookmarkEnd w:id="268"/>
    </w:p>
    <w:p>
      <w:pPr>
        <w:pStyle w:val="Style26"/>
        <w:keepNext w:val="true"/>
        <w:rPr/>
      </w:pPr>
      <w:r>
        <w:rPr/>
        <w:t>Если Победитель закупки:</w:t>
      </w:r>
    </w:p>
    <w:p>
      <w:pPr>
        <w:pStyle w:val="Style27"/>
        <w:rPr/>
      </w:pPr>
      <w:r>
        <w:rPr/>
        <w:t>не подпишет Договор в установленные Документацией о закупке сроки (пункт </w:t>
      </w:r>
      <w:r>
        <w:rPr/>
        <w:fldChar w:fldCharType="begin"/>
      </w:r>
      <w:r>
        <w:rPr/>
        <w:instrText xml:space="preserve"> REF _Ref130293821 \r \h </w:instrText>
      </w:r>
      <w:r>
        <w:rPr/>
        <w:fldChar w:fldCharType="separate"/>
      </w:r>
      <w:r>
        <w:rPr/>
        <w:t>5.2.1</w:t>
      </w:r>
      <w:r>
        <w:rPr/>
        <w:fldChar w:fldCharType="end"/>
      </w:r>
      <w:r>
        <w:rPr/>
        <w:t>);</w:t>
      </w:r>
    </w:p>
    <w:p>
      <w:pPr>
        <w:pStyle w:val="Style27"/>
        <w:rPr/>
      </w:pPr>
      <w:r>
        <w:rPr/>
        <w:t>откажется от подписания Договора на условиях, определяемых в соответствии с пунктом </w:t>
      </w:r>
      <w:r>
        <w:rPr/>
        <w:fldChar w:fldCharType="begin"/>
      </w:r>
      <w:r>
        <w:rPr/>
        <w:instrText xml:space="preserve"> REF _Ref132288402 \r \h </w:instrText>
      </w:r>
      <w:r>
        <w:rPr/>
        <w:fldChar w:fldCharType="separate"/>
      </w:r>
      <w:r>
        <w:rPr/>
        <w:t>5.2.9</w:t>
      </w:r>
      <w:r>
        <w:rPr/>
        <w:fldChar w:fldCharType="end"/>
      </w:r>
      <w:r>
        <w:rPr/>
        <w:t>;</w:t>
      </w:r>
    </w:p>
    <w:p>
      <w:pPr>
        <w:pStyle w:val="Style27"/>
        <w:rPr/>
      </w:pPr>
      <w:r>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14"/>
          </w:rPr>
          <w:t>Приложение № 5</w:t>
        </w:r>
      </w:hyperlink>
      <w:r>
        <w:rPr/>
        <w:t>), с приложением подтверждающих документов;</w:t>
      </w:r>
    </w:p>
    <w:p>
      <w:pPr>
        <w:pStyle w:val="Style27"/>
        <w:rPr/>
      </w:pPr>
      <w:r>
        <w:rPr/>
        <w:t>не предоставит в установленный Заказчиком срок документы, указанные в пункте </w:t>
      </w:r>
      <w:r>
        <w:rPr/>
        <w:fldChar w:fldCharType="begin"/>
      </w:r>
      <w:r>
        <w:rPr/>
        <w:instrText xml:space="preserve"> REF _Ref172285604 \r \h </w:instrText>
      </w:r>
      <w:r>
        <w:rPr/>
        <w:fldChar w:fldCharType="separate"/>
      </w:r>
      <w:r>
        <w:rPr/>
        <w:t>5.2.5</w:t>
      </w:r>
      <w:r>
        <w:rPr/>
        <w:fldChar w:fldCharType="end"/>
      </w:r>
      <w:r>
        <w:rPr/>
        <w:t>, или предоставит их с нарушением требований, установленных в Документации о закупке;</w:t>
      </w:r>
    </w:p>
    <w:p>
      <w:pPr>
        <w:pStyle w:val="Style27"/>
        <w:rPr/>
      </w:pPr>
      <w:r>
        <w:rPr/>
        <w:t>не предоставит в установленный Заказчиком срок документы, указанные в пункте </w:t>
      </w:r>
      <w:r>
        <w:rPr/>
        <w:fldChar w:fldCharType="begin"/>
      </w:r>
      <w:r>
        <w:rPr/>
        <w:instrText xml:space="preserve"> REF _Ref125551072 \w \h </w:instrText>
      </w:r>
      <w:r>
        <w:rPr/>
        <w:fldChar w:fldCharType="separate"/>
      </w:r>
      <w:r>
        <w:rPr/>
        <w:t>5.2.6</w:t>
      </w:r>
      <w:r>
        <w:rPr/>
        <w:fldChar w:fldCharType="end"/>
      </w:r>
      <w:r>
        <w:rPr/>
        <w:t>, или предоставит их с нарушением требований, установленных в Документации о закупке;</w:t>
      </w:r>
    </w:p>
    <w:p>
      <w:pPr>
        <w:pStyle w:val="Style27"/>
        <w:rPr/>
      </w:pPr>
      <w:r>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14"/>
          </w:rPr>
          <w:t>Приложения № 1 – Технические требования</w:t>
        </w:r>
      </w:hyperlink>
      <w:r>
        <w:rPr/>
        <w:t xml:space="preserve"> (в случае установления таковых);</w:t>
      </w:r>
    </w:p>
    <w:p>
      <w:pPr>
        <w:pStyle w:val="Style27"/>
        <w:rPr/>
      </w:pPr>
      <w:r>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7"/>
        <w:rPr/>
      </w:pPr>
      <w:r>
        <w:rPr/>
        <w:t>не выполнит другие условия, прямо предусмотренные Документацией о закупке,</w:t>
      </w:r>
    </w:p>
    <w:p>
      <w:pPr>
        <w:pStyle w:val="Style30"/>
        <w:ind w:left="1134" w:hanging="0"/>
        <w:rPr/>
      </w:pPr>
      <w:r>
        <w:rPr/>
        <w:t>то он (по истечению установленных в подразделе </w:t>
      </w:r>
      <w:r>
        <w:rPr/>
        <w:fldChar w:fldCharType="begin"/>
      </w:r>
      <w:r>
        <w:rPr/>
        <w:instrText xml:space="preserve"> REF _Ref138232981 \r \h </w:instrText>
      </w:r>
      <w:r>
        <w:rPr/>
        <w:fldChar w:fldCharType="separate"/>
      </w:r>
      <w:r>
        <w:rPr/>
        <w:t>5.2</w:t>
      </w:r>
      <w:r>
        <w:rPr/>
        <w:fldChar w:fldCharType="end"/>
      </w:r>
      <w:r>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4"/>
        <w:rPr/>
      </w:pPr>
      <w:bookmarkStart w:id="269" w:name="_Toc228976031"/>
      <w:bookmarkStart w:id="270" w:name="Прил01_ТехТребования"/>
      <w:bookmarkStart w:id="271" w:name="_Ref125370843"/>
      <w:bookmarkStart w:id="272" w:name="_Ref125370750"/>
      <w:bookmarkStart w:id="273" w:name="_Ref125370746"/>
      <w:bookmarkStart w:id="274" w:name="_Ref125370741"/>
      <w:bookmarkStart w:id="275" w:name="_Ref125370732"/>
      <w:bookmarkStart w:id="276" w:name="_Ref125364201"/>
      <w:bookmarkStart w:id="277" w:name="_Ref125364088"/>
      <w:bookmarkStart w:id="278" w:name="_Ref125363752"/>
      <w:bookmarkStart w:id="279" w:name="_Ref125363600"/>
      <w:bookmarkStart w:id="280" w:name="_Ref125363034"/>
      <w:bookmarkStart w:id="281" w:name="_Ref125363023"/>
      <w:bookmarkStart w:id="282" w:name="_Ref125363016"/>
      <w:r>
        <w:rPr/>
        <w:t>Приложение № 1 – Технические требования</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pPr>
        <w:pStyle w:val="Style25"/>
        <w:rPr/>
      </w:pPr>
      <w:bookmarkStart w:id="283" w:name="_Toc228976032"/>
      <w:r>
        <w:rPr/>
        <w:t>Пояснения к Техническим требованиям</w:t>
      </w:r>
      <w:bookmarkEnd w:id="283"/>
    </w:p>
    <w:p>
      <w:pPr>
        <w:pStyle w:val="Style26"/>
        <w:rPr/>
      </w:pPr>
      <w:r>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4"/>
        <w:rPr/>
      </w:pPr>
      <w:bookmarkStart w:id="284" w:name="_Toc228976033"/>
      <w:bookmarkStart w:id="285" w:name="Прил02_ПроектДоговора"/>
      <w:bookmarkStart w:id="286" w:name="_Ref125370754"/>
      <w:bookmarkStart w:id="287" w:name="_Ref125364206"/>
      <w:bookmarkStart w:id="288" w:name="_Ref125364081"/>
      <w:bookmarkStart w:id="289" w:name="_Ref125363759"/>
      <w:bookmarkStart w:id="290" w:name="_Ref125363605"/>
      <w:bookmarkStart w:id="291" w:name="_Ref125363040"/>
      <w:bookmarkStart w:id="292" w:name="_Ref125361746"/>
      <w:r>
        <w:rPr/>
        <w:t>Приложение № 2 – Проект договора</w:t>
      </w:r>
      <w:bookmarkEnd w:id="284"/>
      <w:bookmarkEnd w:id="285"/>
      <w:bookmarkEnd w:id="286"/>
      <w:bookmarkEnd w:id="287"/>
      <w:bookmarkEnd w:id="288"/>
      <w:bookmarkEnd w:id="289"/>
      <w:bookmarkEnd w:id="290"/>
      <w:bookmarkEnd w:id="291"/>
      <w:bookmarkEnd w:id="292"/>
    </w:p>
    <w:p>
      <w:pPr>
        <w:pStyle w:val="Style25"/>
        <w:rPr/>
      </w:pPr>
      <w:bookmarkStart w:id="293" w:name="_Toc228976034"/>
      <w:r>
        <w:rPr/>
        <w:t>Пояснения к Проекту договора</w:t>
      </w:r>
      <w:bookmarkEnd w:id="293"/>
    </w:p>
    <w:p>
      <w:pPr>
        <w:pStyle w:val="Style26"/>
        <w:rPr/>
      </w:pPr>
      <w:r>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6"/>
        <w:rPr/>
      </w:pPr>
      <w:r>
        <w:rPr/>
        <w:t>Все положения Проекта договора являются существенными условиями для Заказчика, за исключением пунктов договора, указанных в подразделе </w:t>
      </w:r>
      <w:r>
        <w:rPr/>
        <w:fldChar w:fldCharType="begin"/>
      </w:r>
      <w:r>
        <w:rPr/>
        <w:instrText xml:space="preserve"> REF _Ref125359973 \r \h </w:instrText>
      </w:r>
      <w:r>
        <w:rPr/>
        <w:fldChar w:fldCharType="separate"/>
      </w:r>
      <w:r>
        <w:rPr/>
        <w:t>1.2</w:t>
      </w:r>
      <w:r>
        <w:rPr/>
        <w:fldChar w:fldCharType="end"/>
      </w:r>
      <w:r>
        <w:rPr/>
        <w:t xml:space="preserve"> </w:t>
      </w:r>
      <w:bookmarkStart w:id="294" w:name="_Hlk132883778"/>
      <w:r>
        <w:rPr/>
        <w:t>как «Некритичные пункты Проекта договора»</w:t>
      </w:r>
      <w:bookmarkEnd w:id="294"/>
      <w:r>
        <w:rPr/>
        <w:t>.</w:t>
      </w:r>
    </w:p>
    <w:p>
      <w:pPr>
        <w:pStyle w:val="Style26"/>
        <w:rPr/>
      </w:pPr>
      <w:r>
        <w:rPr/>
        <w:t>В случае проведения преддоговорных переговоров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6"/>
        <w:rPr/>
      </w:pPr>
      <w:r>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95" w:name="_MON_1736255517"/>
      <w:bookmarkEnd w:id="295"/>
    </w:p>
    <w:p>
      <w:pPr>
        <w:sectPr>
          <w:headerReference w:type="default" r:id="rId15"/>
          <w:headerReference w:type="first" r:id="rId16"/>
          <w:footerReference w:type="default" r:id="rId17"/>
          <w:footerReference w:type="first" r:id="rId18"/>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30"/>
        <w:jc w:val="center"/>
        <w:rPr/>
      </w:pPr>
      <w:r>
        <w:rPr/>
        <w:object>
          <v:shapetype id="_x0000_tole_rId13" coordsize="21600,21600" o:spt="ole_rId13"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3" type="_x0000_tole_rId13" style="width:77.45pt;height:49.6pt;mso-wrap-distance-right:0pt" filled="f" o:ole="">
            <v:imagedata r:id="rId14" o:title=""/>
          </v:shape>
          <o:OLEObject Type="Embed" ProgID="Word.Document.12" ShapeID="ole_rId13" DrawAspect="Icon" ObjectID="_1910960514" r:id="rId13"/>
        </w:object>
      </w:r>
    </w:p>
    <w:p>
      <w:pPr>
        <w:pStyle w:val="Style24"/>
        <w:rPr/>
      </w:pPr>
      <w:bookmarkStart w:id="296" w:name="_Toc228976035"/>
      <w:bookmarkStart w:id="297" w:name="Прил03_ТребованияУчастникам"/>
      <w:bookmarkStart w:id="298" w:name="_Ref125370013"/>
      <w:bookmarkStart w:id="299" w:name="_Ref125365476"/>
      <w:bookmarkStart w:id="300" w:name="_Ref125361908"/>
      <w:bookmarkStart w:id="301" w:name="_Ref125361494"/>
      <w:r>
        <w:rPr/>
        <w:t>Приложение № 3 – Требования к Участникам</w:t>
      </w:r>
      <w:bookmarkEnd w:id="296"/>
      <w:bookmarkEnd w:id="297"/>
      <w:bookmarkEnd w:id="298"/>
      <w:bookmarkEnd w:id="299"/>
      <w:bookmarkEnd w:id="300"/>
      <w:bookmarkEnd w:id="301"/>
    </w:p>
    <w:p>
      <w:pPr>
        <w:pStyle w:val="Style25"/>
        <w:rPr/>
      </w:pPr>
      <w:bookmarkStart w:id="302" w:name="_Toc228976036"/>
      <w:r>
        <w:rPr/>
        <w:t>Пояснения к требованиям к Участникам</w:t>
      </w:r>
      <w:bookmarkEnd w:id="302"/>
    </w:p>
    <w:p>
      <w:pPr>
        <w:pStyle w:val="Style26"/>
        <w:rPr/>
      </w:pPr>
      <w:bookmarkStart w:id="303" w:name="_Hlk125628168"/>
      <w:r>
        <w:rP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303"/>
    </w:p>
    <w:p>
      <w:pPr>
        <w:pStyle w:val="Style25"/>
        <w:spacing w:before="360" w:after="120"/>
        <w:rPr/>
      </w:pPr>
      <w:bookmarkStart w:id="304" w:name="_Toc228976037"/>
      <w:bookmarkStart w:id="305" w:name="_Ref125370071"/>
      <w:bookmarkStart w:id="306" w:name="_Ref125370064"/>
      <w:bookmarkStart w:id="307" w:name="_Ref125370058"/>
      <w:bookmarkStart w:id="308" w:name="_Ref125369088"/>
      <w:bookmarkStart w:id="309" w:name="_Ref125368895"/>
      <w:bookmarkStart w:id="310" w:name="_Ref125368812"/>
      <w:bookmarkStart w:id="311" w:name="_Ref125366879"/>
      <w:bookmarkStart w:id="312" w:name="_Ref125361926"/>
      <w:bookmarkStart w:id="313" w:name="_Ref125361846"/>
      <w:bookmarkStart w:id="314" w:name="_Ref125361832"/>
      <w:bookmarkStart w:id="315" w:name="_Ref125361617"/>
      <w:bookmarkStart w:id="316" w:name="_Ref125361590"/>
      <w:bookmarkStart w:id="317" w:name="_Ref125361435"/>
      <w:r>
        <w:rPr/>
        <w:t>Обязательные требования</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tbl>
      <w:tblPr>
        <w:tblStyle w:val="af6"/>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0"/>
              <w:widowControl w:val="false"/>
              <w:numPr>
                <w:ilvl w:val="0"/>
                <w:numId w:val="3"/>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18" w:name="_Ref125552433"/>
            <w:bookmarkStart w:id="319" w:name="_Ref125552433"/>
            <w:bookmarkEnd w:id="319"/>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30"/>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гражданской правоспособности:</w:t>
            </w:r>
          </w:p>
          <w:p>
            <w:pPr>
              <w:pStyle w:val="Style30"/>
              <w:widowControl w:val="false"/>
              <w:numPr>
                <w:ilvl w:val="0"/>
                <w:numId w:val="16"/>
              </w:numPr>
              <w:suppressAutoHyphens w:val="true"/>
              <w:spacing w:before="60" w:after="60"/>
              <w:ind w:left="568" w:hanging="284"/>
              <w:rPr>
                <w:rFonts w:ascii="Times New Roman" w:hAnsi="Times New Roman" w:eastAsia="Calibri" w:cs=""/>
                <w:kern w:val="0"/>
                <w:sz w:val="26"/>
                <w:szCs w:val="22"/>
                <w:lang w:eastAsia="en-US" w:bidi="ar-SA"/>
              </w:rPr>
            </w:pPr>
            <w:r>
              <w:rPr>
                <w:rFonts w:eastAsia="Calibri" w:cs=""/>
                <w:kern w:val="0"/>
                <w:sz w:val="26"/>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Portable Document Format (*.</w:t>
            </w:r>
            <w:r>
              <w:rPr>
                <w:rFonts w:eastAsia="Calibri" w:cs=""/>
                <w:kern w:val="0"/>
                <w:sz w:val="26"/>
                <w:szCs w:val="22"/>
                <w:lang w:val="en-US" w:eastAsia="en-US" w:bidi="ar-SA"/>
              </w:rPr>
              <w:t>pdf</w:t>
            </w:r>
            <w:r>
              <w:rPr>
                <w:rFonts w:eastAsia="Calibri" w:cs=""/>
                <w:kern w:val="0"/>
                <w:sz w:val="26"/>
                <w:szCs w:val="22"/>
                <w:lang w:val="ru-RU" w:eastAsia="en-US" w:bidi="ar-SA"/>
              </w:rPr>
              <w:t>)) оригинала соответствующей доверенности либо ее нотариально заверенной копии (с указанием правомочий на подписание заявки);</w:t>
            </w:r>
          </w:p>
          <w:p>
            <w:pPr>
              <w:pStyle w:val="Style30"/>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аккредитации:</w:t>
            </w:r>
          </w:p>
          <w:p>
            <w:pPr>
              <w:pStyle w:val="Style30"/>
              <w:widowControl w:val="false"/>
              <w:numPr>
                <w:ilvl w:val="0"/>
                <w:numId w:val="16"/>
              </w:numPr>
              <w:suppressAutoHyphens w:val="true"/>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и обновленная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30"/>
              <w:widowControl w:val="false"/>
              <w:numPr>
                <w:ilvl w:val="0"/>
                <w:numId w:val="16"/>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предоставление Заявки на аккредитацию не требуется;</w:t>
            </w:r>
          </w:p>
          <w:p>
            <w:pPr>
              <w:pStyle w:val="Style30"/>
              <w:widowControl w:val="false"/>
              <w:numPr>
                <w:ilvl w:val="0"/>
                <w:numId w:val="16"/>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30"/>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w:t>
            </w:r>
          </w:p>
          <w:p>
            <w:pPr>
              <w:pStyle w:val="Style30"/>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Участник в соответствии с законодательством формирует отчетность по формам ОКУД 0503730, 0503721 (и (или) освобожден от предоставления дополнительного экземпляра отчетности для размещения на официальном сайте ФНС России) – оценка его финансового состояния производится на основании представленных вместе с Заявкой на аккредитацию:</w:t>
            </w:r>
          </w:p>
          <w:p>
            <w:pPr>
              <w:pStyle w:val="Style30"/>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w:t>
            </w:r>
            <w:r>
              <w:rPr>
                <w:rFonts w:eastAsia="Calibri" w:cs=""/>
                <w:kern w:val="0"/>
                <w:sz w:val="26"/>
                <w:szCs w:val="22"/>
                <w:lang w:val="ru-RU" w:eastAsia="en-US" w:bidi="ar-SA"/>
              </w:rPr>
              <w:tab/>
              <w:t>электронной копии бухгалтерской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30"/>
              <w:widowControl w:val="false"/>
              <w:suppressAutoHyphens w:val="true"/>
              <w:spacing w:before="60" w:after="60"/>
              <w:ind w:left="284" w:hanging="0"/>
              <w:rPr/>
            </w:pPr>
            <w:r>
              <w:rPr>
                <w:rFonts w:eastAsia="Calibri" w:cs=""/>
                <w:kern w:val="0"/>
                <w:sz w:val="26"/>
                <w:szCs w:val="22"/>
                <w:lang w:val="ru-RU" w:eastAsia="en-US" w:bidi="ar-SA"/>
              </w:rPr>
              <w:t>−</w:t>
            </w:r>
            <w:r>
              <w:rPr>
                <w:rFonts w:eastAsia="Calibri" w:cs=""/>
                <w:kern w:val="0"/>
                <w:sz w:val="26"/>
                <w:szCs w:val="22"/>
                <w:lang w:val="ru-RU" w:eastAsia="en-US" w:bidi="ar-SA"/>
              </w:rPr>
              <w:tab/>
              <w:t xml:space="preserve">дополнительных сведений о размере всех требуемых показателей согласно данным бухгалтерской (финансовой) отчетности (по форме, представленной в </w:t>
            </w:r>
            <w:hyperlink w:anchor="Прил11_Данные_бухотчетность">
              <w:r>
                <w:rPr>
                  <w:rStyle w:val="Hyperlink"/>
                  <w:rFonts w:eastAsia="Calibri" w:cs=""/>
                  <w:kern w:val="0"/>
                  <w:sz w:val="26"/>
                  <w:szCs w:val="22"/>
                  <w:lang w:val="ru-RU" w:eastAsia="en-US" w:bidi="ar-SA"/>
                </w:rPr>
                <w:t>Приложении № 11</w:t>
              </w:r>
            </w:hyperlink>
            <w:r>
              <w:rPr>
                <w:rFonts w:eastAsia="Calibri" w:cs=""/>
                <w:kern w:val="0"/>
                <w:sz w:val="26"/>
                <w:szCs w:val="22"/>
                <w:lang w:val="ru-RU" w:eastAsia="en-US" w:bidi="ar-SA"/>
              </w:rPr>
              <w:t>).</w:t>
            </w:r>
          </w:p>
          <w:p>
            <w:pPr>
              <w:pStyle w:val="Style30"/>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30"/>
              <w:widowControl w:val="false"/>
              <w:numPr>
                <w:ilvl w:val="0"/>
                <w:numId w:val="3"/>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20" w:name="_Ref139028406"/>
            <w:bookmarkStart w:id="321" w:name="_Ref139028406"/>
            <w:bookmarkEnd w:id="321"/>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6"/>
                <w:szCs w:val="22"/>
                <w:lang w:val="ru-RU" w:eastAsia="en-US" w:bidi="ar-SA"/>
              </w:rPr>
              <w:footnoteReference w:id="15"/>
            </w:r>
            <w:r>
              <w:rPr>
                <w:rFonts w:eastAsia="Calibri" w:cs=""/>
                <w:kern w:val="0"/>
                <w:sz w:val="26"/>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6"/>
                <w:szCs w:val="22"/>
                <w:lang w:val="ru-RU" w:eastAsia="en-US" w:bidi="ar-SA"/>
              </w:rPr>
              <w:footnoteReference w:id="16"/>
            </w:r>
            <w:r>
              <w:rPr>
                <w:rFonts w:eastAsia="Calibri" w:cs=""/>
                <w:kern w:val="0"/>
                <w:sz w:val="26"/>
                <w:szCs w:val="22"/>
                <w:lang w:val="ru-RU" w:eastAsia="en-US" w:bidi="ar-SA"/>
              </w:rPr>
              <w:t>:</w:t>
            </w:r>
          </w:p>
        </w:tc>
        <w:tc>
          <w:tcPr>
            <w:tcW w:w="8327" w:type="dxa"/>
            <w:tcBorders/>
          </w:tcPr>
          <w:p>
            <w:pPr>
              <w:pStyle w:val="Style30"/>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0"/>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30"/>
              <w:widowControl w:val="false"/>
              <w:numPr>
                <w:ilvl w:val="0"/>
                <w:numId w:val="3"/>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22" w:name="_Ref186216522"/>
            <w:bookmarkStart w:id="323" w:name="_Ref186216522"/>
            <w:bookmarkEnd w:id="323"/>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работ и (или) оказании услуг), то Участник должен быть российским лицом:</w:t>
            </w:r>
          </w:p>
        </w:tc>
        <w:tc>
          <w:tcPr>
            <w:tcW w:w="8327" w:type="dxa"/>
            <w:tcBorders/>
          </w:tcPr>
          <w:p>
            <w:pPr>
              <w:pStyle w:val="Style30"/>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а также указание Участником в составе заявки в Коммерческом предложении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соответствующих сведений.</w:t>
            </w:r>
          </w:p>
          <w:p>
            <w:pPr>
              <w:pStyle w:val="Style30"/>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проверяет на соответствие данному требованию на основании сведений, размещенных на официальных сервисах ФНС России в сети интернет (в отношении иных стран ЕАЭС – на аналогичных официальных сервисах данных стран).)</w:t>
            </w:r>
          </w:p>
        </w:tc>
      </w:tr>
      <w:tr>
        <w:trPr/>
        <w:tc>
          <w:tcPr>
            <w:tcW w:w="1128" w:type="dxa"/>
            <w:tcBorders/>
          </w:tcPr>
          <w:p>
            <w:pPr>
              <w:pStyle w:val="Style30"/>
              <w:widowControl w:val="false"/>
              <w:numPr>
                <w:ilvl w:val="0"/>
                <w:numId w:val="3"/>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24" w:name="_Ref186216526"/>
            <w:bookmarkStart w:id="325" w:name="_Ref186216526"/>
            <w:bookmarkEnd w:id="325"/>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ограничения закупки иностранной продукции и предметом закупки является оказание услуг и (или) выполнение работ (в том числе с поставкой товаров при выполнении работ и (или) оказании услуг), то Участник не должен являться иностранным лицом, при наличии заявки, соответствующей всем требованиям Документации о закупке, поданной от российского лица:</w:t>
            </w:r>
          </w:p>
        </w:tc>
        <w:tc>
          <w:tcPr>
            <w:tcW w:w="8327" w:type="dxa"/>
            <w:tcBorders/>
          </w:tcPr>
          <w:p>
            <w:pPr>
              <w:pStyle w:val="Style30"/>
              <w:widowControl w:val="false"/>
              <w:suppressAutoHyphens w:val="true"/>
              <w:spacing w:before="60" w:after="60"/>
              <w:rPr/>
            </w:pPr>
            <w:r>
              <w:rPr>
                <w:rFonts w:eastAsia="Calibri" w:cs=""/>
                <w:kern w:val="0"/>
                <w:sz w:val="26"/>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а также указание Участником в составе заявки в Коммерческом предложении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соответствующих сведений.</w:t>
            </w:r>
          </w:p>
          <w:p>
            <w:pPr>
              <w:pStyle w:val="Style30"/>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проверяет на соответствие данному требованию на основании сведений, размещенных на официальных сервисах ФНС России в сети интернет (в отношении иных стран ЕАЭС – на аналогичных официальных сервисах данных стран).)</w:t>
            </w:r>
          </w:p>
        </w:tc>
      </w:tr>
    </w:tbl>
    <w:p>
      <w:pPr>
        <w:pStyle w:val="Style25"/>
        <w:spacing w:before="360" w:after="120"/>
        <w:rPr/>
      </w:pPr>
      <w:bookmarkStart w:id="326" w:name="_Toc228976038"/>
      <w:bookmarkStart w:id="327" w:name="_Ref125709888"/>
      <w:bookmarkStart w:id="328" w:name="_Ref125709401"/>
      <w:bookmarkStart w:id="329" w:name="_Ref125709250"/>
      <w:bookmarkStart w:id="330" w:name="_Ref125709153"/>
      <w:bookmarkStart w:id="331" w:name="_Ref125370079"/>
      <w:bookmarkStart w:id="332" w:name="_Ref125369099"/>
      <w:bookmarkStart w:id="333" w:name="_Ref125368916"/>
      <w:bookmarkStart w:id="334" w:name="_Ref125368901"/>
      <w:bookmarkStart w:id="335" w:name="_Ref125368818"/>
      <w:bookmarkStart w:id="336" w:name="_Ref125367539"/>
      <w:bookmarkStart w:id="337" w:name="_Ref125367521"/>
      <w:bookmarkStart w:id="338" w:name="_Ref125365459"/>
      <w:bookmarkStart w:id="339" w:name="_Ref125361937"/>
      <w:bookmarkStart w:id="340" w:name="_Ref125361869"/>
      <w:bookmarkStart w:id="341" w:name="_Ref125361671"/>
      <w:bookmarkStart w:id="342" w:name="_Ref125361633"/>
      <w:bookmarkStart w:id="343" w:name="_Ref125361442"/>
      <w:r>
        <w:rPr/>
        <w:t>Специальные требования</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tbl>
      <w:tblPr>
        <w:tblStyle w:val="af6"/>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0"/>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Специальные требования не установлены.</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327"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Специальные требования не установлены.</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bl>
    <w:p>
      <w:pPr>
        <w:pStyle w:val="Style25"/>
        <w:spacing w:before="360" w:after="120"/>
        <w:rPr/>
      </w:pPr>
      <w:bookmarkStart w:id="344" w:name="_Toc228976039"/>
      <w:bookmarkStart w:id="345" w:name="_Ref125709895"/>
      <w:bookmarkStart w:id="346" w:name="_Ref125709541"/>
      <w:bookmarkStart w:id="347" w:name="_Ref125709256"/>
      <w:bookmarkStart w:id="348" w:name="_Ref125709154"/>
      <w:bookmarkStart w:id="349" w:name="_Ref125553681"/>
      <w:bookmarkStart w:id="350" w:name="_Ref125553475"/>
      <w:bookmarkStart w:id="351" w:name="_Ref125553296"/>
      <w:bookmarkStart w:id="352" w:name="_Ref125553242"/>
      <w:bookmarkStart w:id="353" w:name="_Ref125550353"/>
      <w:bookmarkStart w:id="354" w:name="_Ref125550270"/>
      <w:r>
        <w:rPr/>
        <w:t>Квалификационные требования</w:t>
      </w:r>
      <w:bookmarkEnd w:id="344"/>
      <w:bookmarkEnd w:id="345"/>
      <w:bookmarkEnd w:id="346"/>
      <w:bookmarkEnd w:id="347"/>
      <w:bookmarkEnd w:id="348"/>
      <w:bookmarkEnd w:id="349"/>
      <w:bookmarkEnd w:id="350"/>
      <w:bookmarkEnd w:id="351"/>
      <w:bookmarkEnd w:id="352"/>
      <w:bookmarkEnd w:id="353"/>
      <w:bookmarkEnd w:id="354"/>
    </w:p>
    <w:tbl>
      <w:tblPr>
        <w:tblStyle w:val="af6"/>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0"/>
              <w:widowControl w:val="false"/>
              <w:numPr>
                <w:ilvl w:val="0"/>
                <w:numId w:val="11"/>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Квалификационные требования не установлены.</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327"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Квалификационные требования не установлены.</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bl>
    <w:p>
      <w:pPr>
        <w:pStyle w:val="Style25"/>
        <w:spacing w:before="360" w:after="120"/>
        <w:rPr/>
      </w:pPr>
      <w:bookmarkStart w:id="355" w:name="_Toc228976040"/>
      <w:bookmarkStart w:id="356" w:name="_Ref125709228"/>
      <w:bookmarkStart w:id="357" w:name="_Ref125553703"/>
      <w:bookmarkStart w:id="358" w:name="_Ref125553692"/>
      <w:bookmarkStart w:id="359" w:name="_Ref125553500"/>
      <w:bookmarkStart w:id="360" w:name="_Ref125552455"/>
      <w:r>
        <w:rPr/>
        <w:t>Дополнительные требования к Коллективным участникам</w:t>
      </w:r>
      <w:bookmarkEnd w:id="355"/>
      <w:bookmarkEnd w:id="356"/>
      <w:bookmarkEnd w:id="357"/>
      <w:bookmarkEnd w:id="358"/>
      <w:bookmarkEnd w:id="359"/>
      <w:bookmarkEnd w:id="360"/>
    </w:p>
    <w:tbl>
      <w:tblPr>
        <w:tblStyle w:val="af6"/>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Коллективному участнику</w:t>
            </w:r>
          </w:p>
        </w:tc>
        <w:tc>
          <w:tcPr>
            <w:tcW w:w="8327"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Коллективного участника установленным требованиям</w:t>
            </w:r>
          </w:p>
        </w:tc>
      </w:tr>
      <w:tr>
        <w:trPr/>
        <w:tc>
          <w:tcPr>
            <w:tcW w:w="1128" w:type="dxa"/>
            <w:tcBorders/>
          </w:tcPr>
          <w:p>
            <w:pPr>
              <w:pStyle w:val="Style30"/>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61" w:name="_Ref125370156"/>
            <w:bookmarkStart w:id="362" w:name="_Ref125370156"/>
            <w:bookmarkEnd w:id="362"/>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Члены Коллективного участника должны иметь между собой соглашение (или иной документ), соответствующее нормам ГК РФ:</w:t>
            </w:r>
          </w:p>
        </w:tc>
        <w:tc>
          <w:tcPr>
            <w:tcW w:w="8327"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Соглашения между членами Коллективного участника, подготовленного в соответствии с требованиями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_Ref125366972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3.2.3</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8" w:type="dxa"/>
            <w:tcBorders/>
          </w:tcPr>
          <w:p>
            <w:pPr>
              <w:pStyle w:val="Style30"/>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63" w:name="_Ref125553738"/>
            <w:bookmarkStart w:id="364" w:name="_Ref125553738"/>
            <w:bookmarkEnd w:id="364"/>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327" w:type="dxa"/>
            <w:tcBorders/>
          </w:tcPr>
          <w:p>
            <w:pPr>
              <w:pStyle w:val="Style30"/>
              <w:widowControl w:val="false"/>
              <w:suppressAutoHyphens w:val="true"/>
              <w:spacing w:before="60" w:after="60"/>
              <w:rPr/>
            </w:pPr>
            <w:r>
              <w:rPr>
                <w:rFonts w:eastAsia="Calibri" w:cs=""/>
                <w:kern w:val="0"/>
                <w:sz w:val="26"/>
                <w:szCs w:val="22"/>
                <w:lang w:val="ru-RU" w:eastAsia="en-US" w:bidi="ar-SA"/>
              </w:rPr>
              <w:t>План распределения объемов поставки продукции (форма 10)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 указанием необходимой информации;</w:t>
            </w:r>
          </w:p>
        </w:tc>
      </w:tr>
      <w:tr>
        <w:trPr/>
        <w:tc>
          <w:tcPr>
            <w:tcW w:w="1128" w:type="dxa"/>
            <w:tcBorders/>
          </w:tcPr>
          <w:p>
            <w:pPr>
              <w:pStyle w:val="Style30"/>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65" w:name="_Ref125370162"/>
            <w:bookmarkStart w:id="366" w:name="_Ref125370162"/>
            <w:bookmarkEnd w:id="366"/>
          </w:p>
        </w:tc>
        <w:tc>
          <w:tcPr>
            <w:tcW w:w="5671" w:type="dxa"/>
            <w:tcBorders/>
          </w:tcPr>
          <w:p>
            <w:pPr>
              <w:pStyle w:val="Style30"/>
              <w:widowControl w:val="false"/>
              <w:suppressAutoHyphens w:val="true"/>
              <w:spacing w:before="60" w:after="60"/>
              <w:rPr/>
            </w:pPr>
            <w:r>
              <w:rPr>
                <w:rFonts w:eastAsia="Calibri" w:cs=""/>
                <w:kern w:val="0"/>
                <w:sz w:val="26"/>
                <w:szCs w:val="22"/>
                <w:lang w:val="ru-RU" w:eastAsia="en-US" w:bidi="ar-SA"/>
              </w:rPr>
              <w:t>Соответствие каждого члена Коллективного участника установленным требованиям (с учетом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_Ref125368791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_Ref134705077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3.2.7</w:t>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внутри (форма 10)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_Ref125553242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члена Коллективного участника, подтверждающие его соответствие данным требованиям.</w:t>
            </w:r>
          </w:p>
        </w:tc>
      </w:tr>
    </w:tbl>
    <w:p>
      <w:pPr>
        <w:pStyle w:val="Style25"/>
        <w:spacing w:before="360" w:after="120"/>
        <w:rPr/>
      </w:pPr>
      <w:bookmarkStart w:id="367" w:name="_Toc228976041"/>
      <w:bookmarkStart w:id="368" w:name="_Ref125709973"/>
      <w:bookmarkStart w:id="369" w:name="_Ref125709777"/>
      <w:bookmarkStart w:id="370" w:name="_Ref125370209"/>
      <w:bookmarkStart w:id="371" w:name="_Ref125370180"/>
      <w:bookmarkStart w:id="372" w:name="_Ref125370173"/>
      <w:bookmarkStart w:id="373" w:name="_Ref125369117"/>
      <w:bookmarkStart w:id="374" w:name="_Ref125362031"/>
      <w:bookmarkStart w:id="375" w:name="_Ref125361823"/>
      <w:r>
        <w:rPr/>
        <w:t>Дополнительные требования к Генеральным подрядчикам</w:t>
      </w:r>
      <w:bookmarkEnd w:id="367"/>
      <w:bookmarkEnd w:id="368"/>
      <w:bookmarkEnd w:id="369"/>
      <w:bookmarkEnd w:id="370"/>
      <w:bookmarkEnd w:id="371"/>
      <w:bookmarkEnd w:id="372"/>
      <w:bookmarkEnd w:id="373"/>
      <w:bookmarkEnd w:id="374"/>
      <w:bookmarkEnd w:id="375"/>
    </w:p>
    <w:tbl>
      <w:tblPr>
        <w:tblStyle w:val="af6"/>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Генеральному подрядчику</w:t>
            </w:r>
          </w:p>
        </w:tc>
        <w:tc>
          <w:tcPr>
            <w:tcW w:w="8327"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30"/>
              <w:widowControl w:val="false"/>
              <w:numPr>
                <w:ilvl w:val="0"/>
                <w:numId w:val="6"/>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6" w:name="_Ref125370187"/>
            <w:bookmarkStart w:id="377" w:name="_Ref125370187"/>
            <w:bookmarkEnd w:id="377"/>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30"/>
              <w:widowControl w:val="false"/>
              <w:suppressAutoHyphens w:val="true"/>
              <w:spacing w:before="60" w:after="60"/>
              <w:rPr/>
            </w:pPr>
            <w:r>
              <w:rPr>
                <w:rFonts w:eastAsia="Calibri" w:cs=""/>
                <w:kern w:val="0"/>
                <w:sz w:val="26"/>
                <w:szCs w:val="22"/>
                <w:lang w:val="ru-RU" w:eastAsia="en-US" w:bidi="ar-SA"/>
              </w:rPr>
              <w:t>План распределения объемов поставки продукции (форма 10)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 указанием необходимой информации;</w:t>
            </w:r>
          </w:p>
        </w:tc>
      </w:tr>
      <w:tr>
        <w:trPr/>
        <w:tc>
          <w:tcPr>
            <w:tcW w:w="1128" w:type="dxa"/>
            <w:tcBorders/>
          </w:tcPr>
          <w:p>
            <w:pPr>
              <w:pStyle w:val="Style30"/>
              <w:widowControl w:val="false"/>
              <w:numPr>
                <w:ilvl w:val="0"/>
                <w:numId w:val="6"/>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8" w:name="_Ref125370199"/>
            <w:bookmarkStart w:id="379" w:name="_Ref125370199"/>
            <w:bookmarkEnd w:id="379"/>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Генеральный подрядчик должен доказать, что каждый из привлекаемых им субподрядчиков:</w:t>
            </w:r>
          </w:p>
          <w:p>
            <w:pPr>
              <w:pStyle w:val="Style30"/>
              <w:widowControl w:val="false"/>
              <w:numPr>
                <w:ilvl w:val="0"/>
                <w:numId w:val="15"/>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осведомлен о привлечении его в качестве субподрядчика;</w:t>
            </w:r>
          </w:p>
          <w:p>
            <w:pPr>
              <w:pStyle w:val="Style30"/>
              <w:widowControl w:val="false"/>
              <w:numPr>
                <w:ilvl w:val="0"/>
                <w:numId w:val="15"/>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согласен с выделяемым ему перечнем, объемами, сроками и стоимостью поставки продукции:</w:t>
            </w:r>
          </w:p>
        </w:tc>
        <w:tc>
          <w:tcPr>
            <w:tcW w:w="8327"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от имени каждого привлекаемого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trPr/>
        <w:tc>
          <w:tcPr>
            <w:tcW w:w="1128" w:type="dxa"/>
            <w:tcBorders/>
          </w:tcPr>
          <w:p>
            <w:pPr>
              <w:pStyle w:val="Style30"/>
              <w:widowControl w:val="false"/>
              <w:numPr>
                <w:ilvl w:val="0"/>
                <w:numId w:val="6"/>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80" w:name="_Ref125370193"/>
            <w:bookmarkStart w:id="381" w:name="_Ref125370193"/>
            <w:bookmarkEnd w:id="381"/>
          </w:p>
        </w:tc>
        <w:tc>
          <w:tcPr>
            <w:tcW w:w="5671" w:type="dxa"/>
            <w:tcBorders/>
          </w:tcPr>
          <w:p>
            <w:pPr>
              <w:pStyle w:val="Style30"/>
              <w:widowControl w:val="false"/>
              <w:suppressAutoHyphens w:val="true"/>
              <w:spacing w:before="60" w:after="60"/>
              <w:rPr/>
            </w:pPr>
            <w:r>
              <w:rPr>
                <w:rFonts w:eastAsia="Calibri" w:cs=""/>
                <w:kern w:val="0"/>
                <w:sz w:val="26"/>
                <w:szCs w:val="22"/>
                <w:lang w:val="ru-RU" w:eastAsia="en-US" w:bidi="ar-SA"/>
              </w:rPr>
              <w:t>Соответствие каждого субподрядчика установленным требованиям (с учетом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_Ref125368863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(форма 10)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_Ref125553242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субподрядчика, подтверждающие его соответствие данным требованиям;</w:t>
            </w:r>
          </w:p>
        </w:tc>
      </w:tr>
      <w:tr>
        <w:trPr/>
        <w:tc>
          <w:tcPr>
            <w:tcW w:w="1128" w:type="dxa"/>
            <w:tcBorders/>
          </w:tcPr>
          <w:p>
            <w:pPr>
              <w:pStyle w:val="Style30"/>
              <w:widowControl w:val="false"/>
              <w:numPr>
                <w:ilvl w:val="0"/>
                <w:numId w:val="6"/>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82" w:name="_Ref125553847"/>
            <w:bookmarkStart w:id="383" w:name="_Ref125553847"/>
            <w:bookmarkEnd w:id="383"/>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327"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bl>
    <w:p>
      <w:pPr>
        <w:pStyle w:val="Style25"/>
        <w:spacing w:before="360" w:after="120"/>
        <w:rPr/>
      </w:pPr>
      <w:bookmarkStart w:id="384" w:name="_Toc228976042"/>
      <w:bookmarkStart w:id="385" w:name="_Ref125710517"/>
      <w:bookmarkStart w:id="386" w:name="_Ref125710480"/>
      <w:bookmarkStart w:id="387" w:name="_Ref125710459"/>
      <w:bookmarkStart w:id="388" w:name="_Ref125553821"/>
      <w:bookmarkStart w:id="389" w:name="_Ref125553513"/>
      <w:bookmarkStart w:id="390" w:name="_Ref125550566"/>
      <w:bookmarkStart w:id="391" w:name="_Ref125550560"/>
      <w:bookmarkStart w:id="392" w:name="_Ref125550523"/>
      <w:r>
        <w:rPr/>
        <w:t>Дополнительные требования в отношении Генеральных подрядчиков с обязательным привлечением субподрядчиков (соисполнителей) из числа субъектов МСП</w:t>
      </w:r>
      <w:bookmarkEnd w:id="384"/>
      <w:bookmarkEnd w:id="385"/>
      <w:bookmarkEnd w:id="386"/>
      <w:bookmarkEnd w:id="387"/>
      <w:bookmarkEnd w:id="388"/>
      <w:bookmarkEnd w:id="389"/>
      <w:bookmarkEnd w:id="390"/>
      <w:bookmarkEnd w:id="391"/>
      <w:bookmarkEnd w:id="392"/>
    </w:p>
    <w:tbl>
      <w:tblPr>
        <w:tblStyle w:val="af6"/>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Генеральному подрядчику</w:t>
            </w:r>
          </w:p>
        </w:tc>
        <w:tc>
          <w:tcPr>
            <w:tcW w:w="8327"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30"/>
              <w:widowControl w:val="false"/>
              <w:numPr>
                <w:ilvl w:val="0"/>
                <w:numId w:val="1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327"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bl>
    <w:p>
      <w:pPr>
        <w:sectPr>
          <w:headerReference w:type="default" r:id="rId19"/>
          <w:headerReference w:type="first" r:id="rId20"/>
          <w:footerReference w:type="default" r:id="rId21"/>
          <w:footerReference w:type="first" r:id="rId22"/>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4"/>
        <w:rPr/>
      </w:pPr>
      <w:bookmarkStart w:id="393" w:name="_Toc228976043"/>
      <w:bookmarkStart w:id="394" w:name="Прил04_ФормыЗаявки"/>
      <w:bookmarkEnd w:id="394"/>
      <w:r>
        <w:rPr/>
        <w:t>Приложение № 4 – Образцы форм документов, включаемых в состав заявки</w:t>
      </w:r>
      <w:bookmarkEnd w:id="393"/>
    </w:p>
    <w:p>
      <w:pPr>
        <w:pStyle w:val="Style25"/>
        <w:rPr/>
      </w:pPr>
      <w:bookmarkStart w:id="395" w:name="_Toc228976044"/>
      <w:r>
        <w:rPr/>
        <w:t>Пояснения к Образцам форм документов, включаемых в состав заявки</w:t>
      </w:r>
      <w:bookmarkEnd w:id="395"/>
    </w:p>
    <w:p>
      <w:pPr>
        <w:pStyle w:val="Style26"/>
        <w:rPr/>
      </w:pPr>
      <w:r>
        <w:rPr/>
        <w:t xml:space="preserve">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 Участник при подготовке заявки обязан придерживаться установленных форм документов.  </w:t>
      </w:r>
    </w:p>
    <w:p>
      <w:pPr>
        <w:pStyle w:val="Style24"/>
        <w:rPr/>
      </w:pPr>
      <w:bookmarkStart w:id="396" w:name="_Toc228976045"/>
      <w:bookmarkStart w:id="397" w:name="Прил05_ФормыПобедителя"/>
      <w:bookmarkEnd w:id="397"/>
      <w:r>
        <w:rPr/>
        <w:t>Приложение № 5 – Образцы форм документов, предоставляемых Победителем</w:t>
      </w:r>
      <w:bookmarkEnd w:id="396"/>
    </w:p>
    <w:p>
      <w:pPr>
        <w:pStyle w:val="Style25"/>
        <w:rPr/>
      </w:pPr>
      <w:bookmarkStart w:id="398" w:name="_Toc228976046"/>
      <w:r>
        <w:rPr/>
        <w:t>Пояснения к Образцам форм документов, предоставляемых Победителем</w:t>
      </w:r>
      <w:bookmarkEnd w:id="398"/>
    </w:p>
    <w:p>
      <w:pPr>
        <w:pStyle w:val="Style26"/>
        <w:rPr/>
      </w:pPr>
      <w:r>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fldChar w:fldCharType="begin"/>
      </w:r>
      <w:r>
        <w:rPr/>
        <w:instrText xml:space="preserve"> REF _Ref130395470 \r \h </w:instrText>
      </w:r>
      <w:r>
        <w:rPr/>
        <w:fldChar w:fldCharType="separate"/>
      </w:r>
      <w:r>
        <w:rPr/>
        <w:t>10.2</w:t>
      </w:r>
      <w:r>
        <w:rPr/>
        <w:fldChar w:fldCharType="end"/>
      </w:r>
      <w:r>
        <w:rPr/>
        <w:t xml:space="preserve">, </w:t>
      </w:r>
      <w:r>
        <w:rPr/>
        <w:fldChar w:fldCharType="begin"/>
      </w:r>
      <w:r>
        <w:rPr/>
        <w:instrText xml:space="preserve"> REF _Ref130395475 \r \h </w:instrText>
      </w:r>
      <w:r>
        <w:rPr/>
        <w:fldChar w:fldCharType="separate"/>
      </w:r>
      <w:r>
        <w:rPr/>
        <w:t>10.3</w:t>
      </w:r>
      <w:r>
        <w:rPr/>
        <w:fldChar w:fldCharType="end"/>
      </w:r>
      <w:r>
        <w:rPr/>
        <w:t>.</w:t>
      </w:r>
    </w:p>
    <w:p>
      <w:pPr>
        <w:pStyle w:val="Style25"/>
        <w:rPr/>
      </w:pPr>
      <w:bookmarkStart w:id="399" w:name="_Toc228976047"/>
      <w:bookmarkStart w:id="400" w:name="_Ref130395470"/>
      <w:r>
        <w:rPr/>
        <w:t>Форма справки «Сведения о цепочке собственников, включая бенефициаров (в том числе конечных)»</w:t>
      </w:r>
      <w:bookmarkEnd w:id="399"/>
      <w:bookmarkEnd w:id="400"/>
    </w:p>
    <w:p>
      <w:pPr>
        <w:pStyle w:val="Style26"/>
        <w:rPr/>
      </w:pPr>
      <w:r>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6"/>
        <w:rPr/>
      </w:pPr>
      <w:r>
        <w:rPr/>
        <w:t xml:space="preserve">Форма справки «Сведения о цепочке собственников, включая бенефициаров (в том числе конечных)» </w:t>
      </w:r>
      <w:r>
        <w:rPr>
          <w:lang w:val="en-US"/>
        </w:rPr>
        <w:t>c</w:t>
      </w:r>
      <w:r>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rPr/>
        <w:t xml:space="preserve"> </w:t>
      </w:r>
      <w:r>
        <w:rPr>
          <w:lang w:val="en-US"/>
        </w:rPr>
        <w:t>Word</w:t>
      </w:r>
      <w:r>
        <w:rPr/>
        <w:t>:</w:t>
      </w:r>
    </w:p>
    <w:p>
      <w:pPr>
        <w:pStyle w:val="Style30"/>
        <w:jc w:val="center"/>
        <w:rPr/>
      </w:pPr>
      <w:r>
        <w:rPr/>
        <w:object>
          <v:shapetype id="_x0000_tole_rId23" coordsize="21600,21600" o:spt="ole_rId23"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3" type="_x0000_tole_rId23" style="width:75.65pt;height:49.6pt;mso-wrap-distance-right:0pt" filled="f" o:ole="">
            <v:imagedata r:id="rId24" o:title=""/>
          </v:shape>
          <o:OLEObject Type="Embed" ProgID="Word.Document.12" ShapeID="ole_rId23" DrawAspect="Icon" ObjectID="_804098187" r:id="rId23"/>
        </w:object>
      </w:r>
    </w:p>
    <w:p>
      <w:pPr>
        <w:pStyle w:val="Style25"/>
        <w:rPr/>
      </w:pPr>
      <w:bookmarkStart w:id="401" w:name="_Toc228976048"/>
      <w:bookmarkStart w:id="402" w:name="_Ref130395475"/>
      <w:r>
        <w:rPr/>
        <w:t>Форма «Заверение об обстоятельствах»</w:t>
      </w:r>
      <w:bookmarkEnd w:id="401"/>
      <w:bookmarkEnd w:id="402"/>
    </w:p>
    <w:p>
      <w:pPr>
        <w:pStyle w:val="Style26"/>
        <w:rPr/>
      </w:pPr>
      <w:r>
        <w:rPr>
          <w:rFonts w:eastAsia="Calibri" w:cs="" w:cstheme="minorBidi" w:eastAsiaTheme="minorHAnsi"/>
          <w:shd w:fill="FFFF00" w:val="clear"/>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rFonts w:eastAsia="Calibri" w:cs="" w:cstheme="minorBidi" w:eastAsiaTheme="minorHAnsi"/>
          <w:shd w:fill="FFFF00" w:val="clear"/>
          <w:lang w:val="en-US"/>
        </w:rPr>
        <w:t> </w:t>
      </w:r>
      <w:r>
        <w:rPr>
          <w:rFonts w:eastAsia="Calibri" w:cs="" w:cstheme="minorBidi" w:eastAsiaTheme="minorHAnsi"/>
          <w:shd w:fill="FFFF00" w:val="clear"/>
        </w:rPr>
        <w:t>000 (Ста миллионов) рублей либо договоров (без ограничения по сумме)</w:t>
      </w:r>
      <w:r>
        <w:rPr/>
        <w:t>, положения которых не содержат аналогичных заверений об обстоятельствах, и предоставляется Заказчику в срок не позднее 3</w:t>
      </w:r>
      <w:r>
        <w:rPr>
          <w:lang w:val="en-US"/>
        </w:rPr>
        <w:t> </w:t>
      </w:r>
      <w:r>
        <w:rPr/>
        <w:t>(трех) рабочих дней с даты официального размещения Организатором итогового протокола по результатам закупки.</w:t>
      </w:r>
    </w:p>
    <w:p>
      <w:pPr>
        <w:pStyle w:val="Style26"/>
        <w:rPr/>
      </w:pPr>
      <w:r>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6"/>
        <w:rPr/>
      </w:pPr>
      <w:r>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6"/>
        <w:keepNext w:val="true"/>
        <w:rPr/>
      </w:pPr>
      <w:r>
        <w:rPr/>
        <w:t xml:space="preserve">Форма «Заверение об обстоятельствах» приведена в отдельном файле в формате </w:t>
      </w:r>
      <w:r>
        <w:rPr>
          <w:lang w:val="en-US"/>
        </w:rPr>
        <w:t>Microsoft</w:t>
      </w:r>
      <w:r>
        <w:rPr/>
        <w:t xml:space="preserve"> </w:t>
      </w:r>
      <w:r>
        <w:rPr>
          <w:lang w:val="en-US"/>
        </w:rPr>
        <w:t>Word</w:t>
      </w:r>
      <w:r>
        <w:rPr/>
        <w:t>:</w:t>
      </w:r>
      <w:bookmarkStart w:id="403" w:name="_MON_1741074184"/>
    </w:p>
    <w:p>
      <w:pPr>
        <w:pStyle w:val="Style30"/>
        <w:spacing w:before="120" w:after="120"/>
        <w:jc w:val="center"/>
        <w:rPr/>
      </w:pPr>
      <w:bookmarkEnd w:id="403"/>
      <w:r>
        <w:rPr/>
        <w:object>
          <v:shapetype id="_x0000_tole_rId25" coordsize="21600,21600" o:spt="ole_rId2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5" type="_x0000_tole_rId25" style="width:77.45pt;height:49.6pt;mso-wrap-distance-right:0pt;mso-wrap-distance-bottom:6pt" filled="f" o:ole="">
            <v:imagedata r:id="rId26" o:title=""/>
          </v:shape>
          <o:OLEObject Type="Embed" ProgID="Word.Document.12" ShapeID="ole_rId25" DrawAspect="Icon" ObjectID="_1533503874" r:id="rId25"/>
        </w:object>
      </w:r>
    </w:p>
    <w:p>
      <w:pPr>
        <w:pStyle w:val="Style24"/>
        <w:rPr/>
      </w:pPr>
      <w:bookmarkStart w:id="404" w:name="_Ref125362900"/>
      <w:bookmarkStart w:id="405" w:name="_Ref125362865"/>
      <w:bookmarkStart w:id="406" w:name="_Toc228976049"/>
      <w:bookmarkStart w:id="407" w:name="Прил06_СоставЗаявки"/>
      <w:bookmarkEnd w:id="407"/>
      <w:r>
        <w:rPr/>
        <w:t>Приложение № 6 – Состав заявки</w:t>
      </w:r>
      <w:bookmarkEnd w:id="404"/>
      <w:bookmarkEnd w:id="405"/>
      <w:bookmarkEnd w:id="406"/>
    </w:p>
    <w:p>
      <w:pPr>
        <w:pStyle w:val="Style25"/>
        <w:rPr/>
      </w:pPr>
      <w:bookmarkStart w:id="408" w:name="_Toc228976050"/>
      <w:r>
        <w:rPr/>
        <w:t>Состав заявки</w:t>
      </w:r>
      <w:bookmarkEnd w:id="408"/>
    </w:p>
    <w:p>
      <w:pPr>
        <w:pStyle w:val="Style26"/>
        <w:spacing w:before="120" w:after="120"/>
        <w:rPr/>
      </w:pPr>
      <w:r>
        <w:rPr/>
        <w:t xml:space="preserve">Заявка на участие в закупке должна содержать следующий комплект документов (по установленным формам и в соответствии с инструкциями, приведенными в </w:t>
      </w:r>
      <w:hyperlink w:anchor="Прил04_ФормыЗаявки">
        <w:r>
          <w:rPr>
            <w:rStyle w:val="Style14"/>
          </w:rPr>
          <w:t>Приложении № 4</w:t>
        </w:r>
      </w:hyperlink>
      <w:r>
        <w:rPr/>
        <w:t>):</w:t>
      </w:r>
    </w:p>
    <w:tbl>
      <w:tblPr>
        <w:tblStyle w:val="af6"/>
        <w:tblW w:w="8783" w:type="dxa"/>
        <w:jc w:val="left"/>
        <w:tblInd w:w="1129" w:type="dxa"/>
        <w:tblLayout w:type="fixed"/>
        <w:tblCellMar>
          <w:top w:w="0" w:type="dxa"/>
          <w:left w:w="57" w:type="dxa"/>
          <w:bottom w:w="0" w:type="dxa"/>
          <w:right w:w="57" w:type="dxa"/>
        </w:tblCellMar>
        <w:tblLook w:val="04a0" w:noHBand="0" w:noVBand="1" w:firstColumn="1" w:lastRow="0" w:lastColumn="0" w:firstRow="1"/>
      </w:tblPr>
      <w:tblGrid>
        <w:gridCol w:w="707"/>
        <w:gridCol w:w="8075"/>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8075"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документа</w:t>
            </w:r>
          </w:p>
        </w:tc>
      </w:tr>
      <w:tr>
        <w:trPr/>
        <w:tc>
          <w:tcPr>
            <w:tcW w:w="707"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 подаче оферты (форма 2), содержащее первую ценовую ставку Участника;</w:t>
            </w:r>
          </w:p>
        </w:tc>
      </w:tr>
      <w:tr>
        <w:trPr/>
        <w:tc>
          <w:tcPr>
            <w:tcW w:w="707"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банковской гарантии – предоставляется при необходимости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p>
        </w:tc>
      </w:tr>
      <w:tr>
        <w:trPr/>
        <w:tc>
          <w:tcPr>
            <w:tcW w:w="707"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Коммерческое предложение (включая Структуру НМЦ) (форма 3), согласно первой ценовой ставки Участника; также дополнительно предоставляется подтверждающая документация, составленная в соответствии с </w:t>
            </w:r>
            <w:hyperlink w:anchor="Прил01_ТехТребования">
              <w:r>
                <w:rPr>
                  <w:rStyle w:val="Style14"/>
                  <w:rFonts w:eastAsia="Calibri" w:cs=""/>
                  <w:kern w:val="0"/>
                  <w:sz w:val="26"/>
                  <w:szCs w:val="22"/>
                  <w:lang w:val="ru-RU" w:eastAsia="en-US" w:bidi="ar-SA"/>
                </w:rPr>
                <w:t>Техническими требованиями (Приложение № 1)</w:t>
              </w:r>
            </w:hyperlink>
            <w:r>
              <w:rPr>
                <w:rFonts w:eastAsia="Calibri" w:cs=""/>
                <w:kern w:val="0"/>
                <w:sz w:val="26"/>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r>
        <w:trPr/>
        <w:tc>
          <w:tcPr>
            <w:tcW w:w="707"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Техническое предложение (форма 4);</w:t>
            </w:r>
          </w:p>
        </w:tc>
      </w:tr>
      <w:tr>
        <w:trPr/>
        <w:tc>
          <w:tcPr>
            <w:tcW w:w="707"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Анкета Участника (форма 5);</w:t>
            </w:r>
          </w:p>
        </w:tc>
      </w:tr>
      <w:tr>
        <w:trPr/>
        <w:tc>
          <w:tcPr>
            <w:tcW w:w="707"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09" w:name="_Ref130389408"/>
            <w:bookmarkStart w:id="410" w:name="_Ref130389408"/>
            <w:bookmarkEnd w:id="410"/>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Справка об опыте Участника (форма 6), с необходимыми приложениями к ней, – предоставляется, если установлено соответствующее квалификационное требование к опыту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11" w:name="_Ref130389413"/>
            <w:bookmarkStart w:id="412" w:name="_Ref130389413"/>
            <w:bookmarkEnd w:id="412"/>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Справка о материально-технических ресурсах (форма 7), с необходимыми приложениями к ней – предоставляется, если установлено соответствующее квалификационное требование к наличию (привлечению) материально-технических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13" w:name="_Ref130389419"/>
            <w:bookmarkStart w:id="414" w:name="_Ref130389419"/>
            <w:bookmarkEnd w:id="414"/>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Справка о кадровых ресурсах (форма 8), с необходимыми приложениями к ней – предоставляется, если установлено соответствующее квалификационное требование к наличию (привлечения) кадровых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Справка об аффилированности Участника с изготовителем (производителем) предлагаемого товара (форма 9) – предоставляется, 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w:t>
            </w:r>
          </w:p>
        </w:tc>
      </w:tr>
      <w:tr>
        <w:trPr/>
        <w:tc>
          <w:tcPr>
            <w:tcW w:w="707"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Normal"/>
              <w:widowControl w:val="false"/>
              <w:suppressAutoHyphens w:val="true"/>
              <w:spacing w:before="120" w:after="0"/>
              <w:jc w:val="both"/>
              <w:rPr/>
            </w:pPr>
            <w:r>
              <w:rPr>
                <w:rFonts w:eastAsia="Calibri" w:cs=""/>
                <w:kern w:val="0"/>
                <w:sz w:val="26"/>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Коллективного участника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Участник подает заявку от лица Коллективного участника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_Ref130305355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30"/>
              <w:widowControl w:val="false"/>
              <w:numPr>
                <w:ilvl w:val="0"/>
                <w:numId w:val="10"/>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План распределения объемов поставки продукции (форма 11);</w:t>
            </w:r>
          </w:p>
          <w:p>
            <w:pPr>
              <w:pStyle w:val="Style30"/>
              <w:widowControl w:val="false"/>
              <w:numPr>
                <w:ilvl w:val="0"/>
                <w:numId w:val="10"/>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Соглашения между членами Коллективного участника, подготовленного в соответствии с требованиями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_Ref125366972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Документации о закупке;</w:t>
            </w:r>
          </w:p>
          <w:p>
            <w:pPr>
              <w:pStyle w:val="Style30"/>
              <w:widowControl w:val="false"/>
              <w:numPr>
                <w:ilvl w:val="0"/>
                <w:numId w:val="10"/>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Style w:val="Style14"/>
                <w:rFonts w:eastAsia="Calibri" w:cs=""/>
                <w:kern w:val="0"/>
                <w:sz w:val="26"/>
                <w:szCs w:val="22"/>
                <w:lang w:val="ru-RU" w:eastAsia="en-US" w:bidi="ar-SA"/>
              </w:rPr>
              <w:t>;</w:t>
            </w:r>
          </w:p>
        </w:tc>
      </w:tr>
      <w:tr>
        <w:trPr/>
        <w:tc>
          <w:tcPr>
            <w:tcW w:w="707"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условиями проводимой закупки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рассмотрение заявок осуществляется с учетом привлекаемых субподрядчиков, и Участник подает заявку от лица Генерального подрядчика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_Ref125361702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3.3</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30"/>
              <w:widowControl w:val="false"/>
              <w:numPr>
                <w:ilvl w:val="0"/>
                <w:numId w:val="10"/>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План распределения объемов поставки продукции (форма 10);</w:t>
            </w:r>
          </w:p>
          <w:p>
            <w:pPr>
              <w:pStyle w:val="Style30"/>
              <w:widowControl w:val="false"/>
              <w:numPr>
                <w:ilvl w:val="0"/>
                <w:numId w:val="10"/>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Style w:val="Style14"/>
                <w:rFonts w:eastAsia="Calibri" w:cs=""/>
                <w:kern w:val="0"/>
                <w:sz w:val="26"/>
                <w:szCs w:val="22"/>
                <w:lang w:val="ru-RU" w:eastAsia="en-US" w:bidi="ar-SA"/>
              </w:rPr>
              <w:t>;</w:t>
            </w:r>
          </w:p>
        </w:tc>
      </w:tr>
      <w:tr>
        <w:trPr/>
        <w:tc>
          <w:tcPr>
            <w:tcW w:w="707"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_Ref125710459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8.7</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условиями проводимой закупки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предусмотрено участие в закупке Участников, которые должны привлечь к исполнению Договора субподрядчиков (соисполнителей) из числа субъектов МСП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_Ref127524203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3.4</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 План распределения объемов поставки продукции (форма 10);</w:t>
            </w:r>
          </w:p>
        </w:tc>
      </w:tr>
      <w:tr>
        <w:trPr/>
        <w:tc>
          <w:tcPr>
            <w:tcW w:w="707"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 предоставляются, если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было установлено соответствующее требование;</w:t>
            </w:r>
          </w:p>
        </w:tc>
      </w:tr>
    </w:tbl>
    <w:p>
      <w:pPr>
        <w:sectPr>
          <w:headerReference w:type="default" r:id="rId27"/>
          <w:headerReference w:type="first" r:id="rId28"/>
          <w:footerReference w:type="default" r:id="rId29"/>
          <w:footerReference w:type="first" r:id="rId30"/>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6"/>
        <w:rPr>
          <w:rStyle w:val="Style11"/>
          <w:i w:val="false"/>
          <w:i w:val="false"/>
          <w:iCs w:val="false"/>
          <w:shd w:fill="auto" w:val="clear"/>
        </w:rPr>
      </w:pPr>
      <w:r>
        <w:rPr>
          <w:rStyle w:val="Style11"/>
          <w:i w:val="false"/>
          <w:iCs w:val="false"/>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4"/>
        <w:rPr/>
      </w:pPr>
      <w:bookmarkStart w:id="415" w:name="_Toc228976051"/>
      <w:bookmarkStart w:id="416" w:name="_Ref125365264"/>
      <w:bookmarkStart w:id="417" w:name="Прил07_ОтборочныеКритерии"/>
      <w:bookmarkEnd w:id="417"/>
      <w:r>
        <w:rPr/>
        <w:t>Приложение № 7 – Отборочные критерии рассмотрения заявок</w:t>
      </w:r>
      <w:bookmarkEnd w:id="415"/>
      <w:bookmarkEnd w:id="416"/>
    </w:p>
    <w:p>
      <w:pPr>
        <w:pStyle w:val="Style25"/>
        <w:spacing w:before="360" w:after="120"/>
        <w:rPr>
          <w:rStyle w:val="Style11"/>
          <w:i w:val="false"/>
          <w:i w:val="false"/>
          <w:iCs w:val="false"/>
          <w:shd w:fill="auto" w:val="clear"/>
        </w:rPr>
      </w:pPr>
      <w:bookmarkStart w:id="418" w:name="_Toc228976052"/>
      <w:r>
        <w:rPr>
          <w:rStyle w:val="Style11"/>
          <w:i w:val="false"/>
          <w:iCs w:val="false"/>
          <w:shd w:fill="auto" w:val="clear"/>
        </w:rPr>
        <w:t>Отборочные критерии рассмотрения заявок</w:t>
      </w:r>
      <w:bookmarkEnd w:id="418"/>
    </w:p>
    <w:tbl>
      <w:tblPr>
        <w:tblStyle w:val="af6"/>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отборочного критерия</w:t>
            </w:r>
          </w:p>
        </w:tc>
        <w:tc>
          <w:tcPr>
            <w:tcW w:w="3117"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9918" w:type="dxa"/>
            <w:gridSpan w:val="2"/>
            <w:tcBorders/>
          </w:tcPr>
          <w:p>
            <w:pPr>
              <w:pStyle w:val="Style30"/>
              <w:keepNext w:val="true"/>
              <w:widowControl w:val="false"/>
              <w:suppressAutoHyphens w:val="true"/>
              <w:spacing w:before="60" w:after="60"/>
              <w:rPr>
                <w:b/>
                <w:bCs/>
              </w:rPr>
            </w:pPr>
            <w:r>
              <w:rPr>
                <w:rFonts w:eastAsia="Calibri" w:cs=""/>
                <w:b/>
                <w:bCs/>
                <w:kern w:val="0"/>
                <w:sz w:val="26"/>
                <w:szCs w:val="22"/>
                <w:lang w:val="ru-RU" w:eastAsia="en-US" w:bidi="ar-SA"/>
              </w:rPr>
              <w:t>Состав заявки и правильность ее оформления, в том числе:</w:t>
            </w:r>
          </w:p>
        </w:tc>
        <w:tc>
          <w:tcPr>
            <w:tcW w:w="3117" w:type="dxa"/>
            <w:tcBorders/>
          </w:tcPr>
          <w:p>
            <w:pPr>
              <w:pStyle w:val="Style30"/>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0"/>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w:t>
            </w:r>
            <w:hyperlink w:anchor="Прил06_СоставЗаявки">
              <w:r>
                <w:rPr>
                  <w:rStyle w:val="Style14"/>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3117" w:type="dxa"/>
            <w:tcBorders/>
          </w:tcPr>
          <w:p>
            <w:pPr>
              <w:pStyle w:val="Style30"/>
              <w:widowControl w:val="false"/>
              <w:suppressAutoHyphens w:val="true"/>
              <w:spacing w:before="60" w:after="60"/>
              <w:jc w:val="center"/>
              <w:rPr>
                <w:rStyle w:val="Style14"/>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6_СоставЗаявки">
              <w:r>
                <w:rPr>
                  <w:rStyle w:val="Style14"/>
                  <w:rFonts w:eastAsia="Calibri" w:cs=""/>
                  <w:kern w:val="0"/>
                  <w:sz w:val="26"/>
                  <w:szCs w:val="22"/>
                  <w:lang w:val="ru-RU" w:eastAsia="en-US" w:bidi="ar-SA"/>
                </w:rPr>
                <w:t>Приложение № 6</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Отсутствие в материалах (документах)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w:t>
            </w:r>
          </w:p>
        </w:tc>
        <w:tc>
          <w:tcPr>
            <w:tcW w:w="3117"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_Ref135749133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4.9</w:t>
            </w:r>
            <w:r>
              <w:rPr>
                <w:sz w:val="26"/>
                <w:kern w:val="0"/>
                <w:szCs w:val="22"/>
                <w:rFonts w:eastAsia="Calibri" w:cs=""/>
                <w:lang w:val="ru-RU" w:eastAsia="en-US" w:bidi="ar-SA"/>
              </w:rPr>
              <w:fldChar w:fldCharType="end"/>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если подразделом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p>
        </w:tc>
        <w:tc>
          <w:tcPr>
            <w:tcW w:w="3117"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_Ref130455226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4.17</w:t>
            </w:r>
            <w:r>
              <w:rPr>
                <w:sz w:val="26"/>
                <w:kern w:val="0"/>
                <w:szCs w:val="22"/>
                <w:rFonts w:eastAsia="Calibri" w:cs=""/>
                <w:lang w:val="ru-RU" w:eastAsia="en-US" w:bidi="ar-SA"/>
              </w:rPr>
              <w:fldChar w:fldCharType="end"/>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 в части наличия сведений в реестре,</w:t>
            </w:r>
          </w:p>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Фин – в части соответствия</w:t>
            </w:r>
          </w:p>
        </w:tc>
      </w:tr>
      <w:tr>
        <w:trPr/>
        <w:tc>
          <w:tcPr>
            <w:tcW w:w="9918" w:type="dxa"/>
            <w:gridSpan w:val="2"/>
            <w:tcBorders/>
          </w:tcPr>
          <w:p>
            <w:pPr>
              <w:pStyle w:val="Style30"/>
              <w:keepNext w:val="true"/>
              <w:widowControl w:val="false"/>
              <w:suppressAutoHyphens w:val="true"/>
              <w:spacing w:before="60" w:after="60"/>
              <w:rPr>
                <w:b/>
                <w:bCs/>
              </w:rPr>
            </w:pPr>
            <w:r>
              <w:rPr>
                <w:rFonts w:eastAsia="Calibri" w:cs=""/>
                <w:b/>
                <w:bCs/>
                <w:kern w:val="0"/>
                <w:sz w:val="26"/>
                <w:szCs w:val="22"/>
                <w:lang w:val="ru-RU" w:eastAsia="en-US" w:bidi="ar-SA"/>
              </w:rPr>
              <w:t>Соответствие Письма о подаче оферты:</w:t>
            </w:r>
          </w:p>
        </w:tc>
        <w:tc>
          <w:tcPr>
            <w:tcW w:w="3117" w:type="dxa"/>
            <w:tcBorders/>
          </w:tcPr>
          <w:p>
            <w:pPr>
              <w:pStyle w:val="Style30"/>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0"/>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наличия должных печатей (при наличии), подписей, формы заверения, языка, валюты и срока действия заявки</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9918" w:type="dxa"/>
            <w:gridSpan w:val="2"/>
            <w:tcBorders/>
          </w:tcPr>
          <w:p>
            <w:pPr>
              <w:pStyle w:val="Style30"/>
              <w:keepNext w:val="true"/>
              <w:widowControl w:val="false"/>
              <w:suppressAutoHyphens w:val="true"/>
              <w:spacing w:before="60" w:after="60"/>
              <w:rPr>
                <w:b/>
                <w:bCs/>
              </w:rPr>
            </w:pPr>
            <w:r>
              <w:rPr>
                <w:rFonts w:eastAsia="Calibri" w:cs=""/>
                <w:b/>
                <w:bCs/>
                <w:kern w:val="0"/>
                <w:sz w:val="26"/>
                <w:szCs w:val="22"/>
                <w:lang w:val="ru-RU" w:eastAsia="en-US" w:bidi="ar-SA"/>
              </w:rPr>
              <w:t>Соответствие Участника установленным требованиям Документации о закупке, в том числе:</w:t>
            </w:r>
          </w:p>
        </w:tc>
        <w:tc>
          <w:tcPr>
            <w:tcW w:w="3117" w:type="dxa"/>
            <w:tcBorders/>
          </w:tcPr>
          <w:p>
            <w:pPr>
              <w:pStyle w:val="Style30"/>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0"/>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_Ref125552433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0"/>
              <w:widowControl w:val="false"/>
              <w:suppressAutoHyphens w:val="true"/>
              <w:spacing w:before="60" w:after="60"/>
              <w:rPr>
                <w:i/>
                <w:i/>
                <w:iCs/>
              </w:rPr>
            </w:pPr>
            <w:r>
              <w:rPr>
                <w:rFonts w:eastAsia="Calibri" w:cs=""/>
                <w:i/>
                <w:iCs/>
                <w:kern w:val="0"/>
                <w:sz w:val="26"/>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w:t>
            </w:r>
            <w:r>
              <w:rPr>
                <w:rFonts w:eastAsia="Calibri" w:cs=""/>
                <w:i/>
                <w:iCs/>
                <w:kern w:val="0"/>
                <w:sz w:val="26"/>
                <w:szCs w:val="22"/>
                <w:lang w:val="en-US" w:eastAsia="en-US" w:bidi="ar-SA"/>
              </w:rPr>
              <w:t> </w:t>
            </w:r>
            <w:r>
              <w:rPr>
                <w:rFonts w:eastAsia="Calibri" w:cs=""/>
                <w:i/>
                <w:iCs/>
                <w:kern w:val="0"/>
                <w:sz w:val="26"/>
                <w:szCs w:val="22"/>
                <w:lang w:val="ru-RU" w:eastAsia="en-US" w:bidi="ar-SA"/>
              </w:rPr>
              <w:t>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Юр</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_Ref139028406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_Ref186216522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0"/>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_Ref186216127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_Ref186216127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t>,</w:t>
            </w:r>
            <w:r>
              <w:rPr>
                <w:rFonts w:eastAsia="Calibri" w:cs=""/>
                <w:i/>
                <w:i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_Ref186216526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0"/>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_Ref186216127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_Ref186216127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специальным требованиям к Участникам</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квалификационным требованиям к Участникам</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_Ref125550270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Коллективного участника установленным в отношении его требованиям:</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рассмотрения заявки, поданной Коллективным участником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_Ref130305355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1"/>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numPr>
                <w:ilvl w:val="0"/>
                <w:numId w:val="10"/>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_Ref125370156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p>
          <w:p>
            <w:pPr>
              <w:pStyle w:val="Style30"/>
              <w:widowControl w:val="false"/>
              <w:suppressAutoHyphens w:val="true"/>
              <w:spacing w:before="60" w:after="60"/>
              <w:ind w:left="219" w:hanging="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Юр</w:t>
            </w:r>
          </w:p>
        </w:tc>
      </w:tr>
      <w:tr>
        <w:trPr/>
        <w:tc>
          <w:tcPr>
            <w:tcW w:w="1412" w:type="dxa"/>
            <w:tcBorders/>
          </w:tcPr>
          <w:p>
            <w:pPr>
              <w:pStyle w:val="Style30"/>
              <w:widowControl w:val="false"/>
              <w:numPr>
                <w:ilvl w:val="1"/>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numPr>
                <w:ilvl w:val="0"/>
                <w:numId w:val="10"/>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_Ref125553738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1"/>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numPr>
                <w:ilvl w:val="0"/>
                <w:numId w:val="10"/>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_Ref125370162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p>
            <w:pPr>
              <w:pStyle w:val="Style30"/>
              <w:widowControl w:val="false"/>
              <w:suppressAutoHyphens w:val="true"/>
              <w:spacing w:before="60" w:after="60"/>
              <w:ind w:left="219" w:hanging="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Юр</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Генерального подрядчика установленным в отношении его требованиям:</w:t>
            </w:r>
          </w:p>
          <w:p>
            <w:pPr>
              <w:pStyle w:val="Style30"/>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проведения закупки, в которой предусмотрена возможность рассмотрения заявок Участников с учетом привлекаемых субподрядчиков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_Ref125359973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1.2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_Ref125361702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1"/>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numPr>
                <w:ilvl w:val="0"/>
                <w:numId w:val="10"/>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_Ref125370187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_Ref125370199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_Ref125553847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1"/>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numPr>
                <w:ilvl w:val="0"/>
                <w:numId w:val="10"/>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Генерального подрядчика с обязательным привлечением субподрядчиков (соисполнителей) из числа субъектов МСП установленным в отношении его требованиям</w:t>
            </w:r>
          </w:p>
          <w:p>
            <w:pPr>
              <w:pStyle w:val="Style30"/>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проведения закупки, участвовать в которой могут только лица, обязанные привлечь к исполнению Договора субподрядчиков (соисполнителей) из числа субъектов МСП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_Ref125359973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1.2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_Ref127524203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3.4</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_Ref125550523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8.7</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9918" w:type="dxa"/>
            <w:gridSpan w:val="2"/>
            <w:tcBorders/>
          </w:tcPr>
          <w:p>
            <w:pPr>
              <w:pStyle w:val="Style30"/>
              <w:keepNext w:val="true"/>
              <w:widowControl w:val="false"/>
              <w:suppressAutoHyphens w:val="true"/>
              <w:spacing w:before="60" w:after="60"/>
              <w:rPr>
                <w:b/>
                <w:bCs/>
              </w:rPr>
            </w:pPr>
            <w:r>
              <w:rPr>
                <w:rFonts w:eastAsia="Calibri" w:cs=""/>
                <w:b/>
                <w:bCs/>
                <w:kern w:val="0"/>
                <w:sz w:val="26"/>
                <w:szCs w:val="22"/>
                <w:lang w:val="ru-RU" w:eastAsia="en-US" w:bidi="ar-SA"/>
              </w:rPr>
              <w:t xml:space="preserve">Соответствие Технического предложения Участника </w:t>
            </w:r>
            <w:hyperlink w:anchor="Прил01_ТехТребования">
              <w:r>
                <w:rPr>
                  <w:rStyle w:val="Style14"/>
                  <w:rFonts w:eastAsia="Calibri" w:cs=""/>
                  <w:b/>
                  <w:bCs/>
                  <w:kern w:val="0"/>
                  <w:sz w:val="26"/>
                  <w:szCs w:val="22"/>
                  <w:lang w:val="ru-RU" w:eastAsia="en-US" w:bidi="ar-SA"/>
                </w:rPr>
                <w:t>Техническим требованиям (Приложение № 1)</w:t>
              </w:r>
            </w:hyperlink>
            <w:r>
              <w:rPr>
                <w:rFonts w:eastAsia="Calibri" w:cs=""/>
                <w:b/>
                <w:bCs/>
                <w:kern w:val="0"/>
                <w:sz w:val="26"/>
                <w:szCs w:val="22"/>
                <w:lang w:val="ru-RU" w:eastAsia="en-US" w:bidi="ar-SA"/>
              </w:rPr>
              <w:t>, в том числе:</w:t>
            </w:r>
          </w:p>
        </w:tc>
        <w:tc>
          <w:tcPr>
            <w:tcW w:w="3117" w:type="dxa"/>
            <w:tcBorders/>
          </w:tcPr>
          <w:p>
            <w:pPr>
              <w:pStyle w:val="Style30"/>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0"/>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предложения требованиям к стране происхождения поставляемого товара, установленным в Технических требованиях</w:t>
            </w:r>
          </w:p>
          <w:p>
            <w:pPr>
              <w:pStyle w:val="Style30"/>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исполнения Заказчиком</w:t>
            </w:r>
            <w:r>
              <w:rPr>
                <w:rFonts w:eastAsia="Calibri" w:cs=""/>
                <w:kern w:val="0"/>
                <w:sz w:val="26"/>
                <w:szCs w:val="22"/>
                <w:lang w:val="ru-RU" w:eastAsia="en-US" w:bidi="ar-SA"/>
              </w:rPr>
              <w:t xml:space="preserve"> </w:t>
            </w:r>
            <w:r>
              <w:rPr>
                <w:rFonts w:eastAsia="Calibri" w:cs=""/>
                <w:i/>
                <w:iCs/>
                <w:kern w:val="0"/>
                <w:sz w:val="26"/>
                <w:szCs w:val="22"/>
                <w:lang w:val="ru-RU" w:eastAsia="en-US" w:bidi="ar-SA"/>
              </w:rPr>
              <w:t>норм в части минимальной обязательной доли закупок товаров российского происхождения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_Ref186216127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_Ref186216127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_Ref186216127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сроков (и (или) этапов) реализации Договора, предложенных Участником в Техническом предложении,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r>
              <w:rPr>
                <w:rFonts w:eastAsia="Calibri" w:cs=""/>
                <w:kern w:val="0"/>
                <w:sz w:val="26"/>
                <w:szCs w:val="22"/>
                <w:lang w:val="ru-RU" w:eastAsia="en-US" w:bidi="ar-SA"/>
              </w:rPr>
              <w:t>, или согласие с ними в Письме о подаче оферты</w:t>
            </w:r>
          </w:p>
        </w:tc>
        <w:tc>
          <w:tcPr>
            <w:tcW w:w="3117" w:type="dxa"/>
            <w:tcBorders/>
          </w:tcPr>
          <w:p>
            <w:pPr>
              <w:pStyle w:val="Style30"/>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0"/>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с предоставлением требуемых подтверждающих документов / сведений</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0"/>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9918" w:type="dxa"/>
            <w:gridSpan w:val="2"/>
            <w:tcBorders/>
          </w:tcPr>
          <w:p>
            <w:pPr>
              <w:pStyle w:val="Style30"/>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Соответствие Коммерческого предложения Участника требованиям Документации о закупке, в том числе:</w:t>
            </w:r>
          </w:p>
        </w:tc>
        <w:tc>
          <w:tcPr>
            <w:tcW w:w="3117"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Коммерческого предложения (проверка наличия в составе заявки всех необходимых документов, оценка правильности их оформления; проверка отсутствия противоречий в представленных в составе Коммерческого предложения (и приложениях к нему) документах).</w:t>
            </w:r>
          </w:p>
        </w:tc>
        <w:tc>
          <w:tcPr>
            <w:tcW w:w="3117"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_Ref135749133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4.9</w:t>
            </w:r>
            <w:r>
              <w:rPr>
                <w:sz w:val="26"/>
                <w:kern w:val="0"/>
                <w:szCs w:val="22"/>
                <w:rFonts w:eastAsia="Calibri" w:cs=""/>
                <w:lang w:val="ru-RU" w:eastAsia="en-US" w:bidi="ar-SA"/>
              </w:rPr>
              <w:fldChar w:fldCharType="end"/>
            </w:r>
          </w:p>
          <w:p>
            <w:pPr>
              <w:pStyle w:val="Style30"/>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Соответствие предложения установленным законодательством требованиям к предоставлению национального режима, в том числе в части указания сведений, которые подтверждают страну происхождения товара в составе заявке в форме Коммерческого предложения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режима запрета или ограничения закупки иностранной продукции, а также при исполнении Заказчиком норм в части минимальной обязательной доли закупок товаров российского происхождения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_Ref130985951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_Ref130985951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br/>
              <w:t>(форма Коммерческого предложения)</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Соответствие подтверждающей документации, прилагаемой к</w:t>
            </w:r>
            <w:r>
              <w:rPr>
                <w:rFonts w:eastAsia="Calibri" w:cs=""/>
                <w:kern w:val="0"/>
                <w:sz w:val="26"/>
                <w:szCs w:val="22"/>
                <w:lang w:val="en-US" w:eastAsia="en-US" w:bidi="ar-SA"/>
              </w:rPr>
              <w:t> </w:t>
            </w:r>
            <w:r>
              <w:rPr>
                <w:rFonts w:eastAsia="Calibri" w:cs=""/>
                <w:kern w:val="0"/>
                <w:sz w:val="26"/>
                <w:szCs w:val="22"/>
                <w:lang w:val="ru-RU" w:eastAsia="en-US" w:bidi="ar-SA"/>
              </w:rPr>
              <w:t xml:space="preserve">Коммерческому приложению, требованиям,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30"/>
              <w:widowControl w:val="false"/>
              <w:suppressAutoHyphens w:val="true"/>
              <w:spacing w:before="60" w:after="60"/>
              <w:rPr/>
            </w:pPr>
            <w:r>
              <w:rPr>
                <w:rFonts w:eastAsia="Calibri" w:cs=""/>
                <w:i/>
                <w:iCs/>
                <w:kern w:val="0"/>
                <w:sz w:val="26"/>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14"/>
                  <w:rFonts w:eastAsia="Calibri" w:cs=""/>
                  <w:i/>
                  <w:iCs/>
                  <w:kern w:val="0"/>
                  <w:sz w:val="26"/>
                  <w:szCs w:val="22"/>
                  <w:lang w:val="ru-RU" w:eastAsia="en-US" w:bidi="ar-SA"/>
                </w:rPr>
                <w:t>Технических требованиях (Приложение № 1)</w:t>
              </w:r>
            </w:hyperlink>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bl>
    <w:p>
      <w:pPr>
        <w:pStyle w:val="Style25"/>
        <w:rPr>
          <w:rStyle w:val="Style11"/>
          <w:i w:val="false"/>
          <w:i w:val="false"/>
          <w:iCs w:val="false"/>
          <w:shd w:fill="auto" w:val="clear"/>
        </w:rPr>
      </w:pPr>
      <w:bookmarkStart w:id="419" w:name="_Toc228976053"/>
      <w:r>
        <w:rPr>
          <w:rStyle w:val="Style11"/>
          <w:i w:val="false"/>
          <w:iCs w:val="false"/>
          <w:shd w:fill="auto" w:val="clear"/>
        </w:rPr>
        <w:t>Дополнительные критерии проверки заявок на соответствие условиям Документации о закупке</w:t>
      </w:r>
      <w:bookmarkEnd w:id="419"/>
    </w:p>
    <w:p>
      <w:pPr>
        <w:pStyle w:val="Style30"/>
        <w:keepNext w:val="true"/>
        <w:spacing w:before="120" w:after="120"/>
        <w:rPr/>
      </w:pPr>
      <w:r>
        <w:rPr/>
        <w:t>Несоответствие одному или всем дополнительным критериям не является основанием для отклонения заявки.</w:t>
      </w:r>
    </w:p>
    <w:tbl>
      <w:tblPr>
        <w:tblStyle w:val="af6"/>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критерия проверки</w:t>
            </w:r>
          </w:p>
        </w:tc>
        <w:tc>
          <w:tcPr>
            <w:tcW w:w="3117"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1412" w:type="dxa"/>
            <w:tcBorders/>
          </w:tcPr>
          <w:p>
            <w:pPr>
              <w:pStyle w:val="Style30"/>
              <w:widowControl w:val="false"/>
              <w:numPr>
                <w:ilvl w:val="0"/>
                <w:numId w:val="14"/>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применения преимущества, 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преимущества российской продукции, в отношении заявки с российской продукцией (на поставку товара российского происхождения (в том числе поставляемого при выполнении работ, оказании услуг))</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_Ref130985951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117"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_Ref132894106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bl>
    <w:p>
      <w:pPr>
        <w:pStyle w:val="Style30"/>
        <w:keepNext w:val="true"/>
        <w:tabs>
          <w:tab w:val="clear" w:pos="708"/>
          <w:tab w:val="left" w:pos="851" w:leader="none"/>
        </w:tabs>
        <w:spacing w:before="240" w:after="0"/>
        <w:rPr>
          <w:b/>
          <w:bCs/>
        </w:rPr>
      </w:pPr>
      <w:r>
        <w:rPr>
          <w:b/>
          <w:bCs/>
        </w:rPr>
        <w:t>* Направления оценки заявок:</w:t>
      </w:r>
    </w:p>
    <w:p>
      <w:pPr>
        <w:pStyle w:val="Style30"/>
        <w:tabs>
          <w:tab w:val="clear" w:pos="708"/>
          <w:tab w:val="left" w:pos="1134" w:leader="none"/>
        </w:tabs>
        <w:ind w:left="1701" w:hanging="1701"/>
        <w:rPr/>
      </w:pPr>
      <w:r>
        <w:rPr>
          <w:b/>
          <w:bCs/>
        </w:rPr>
        <w:t>Орг</w:t>
      </w:r>
      <w:r>
        <w:rPr/>
        <w:tab/>
        <w:t>–</w:t>
        <w:tab/>
      </w:r>
      <w:bookmarkStart w:id="420" w:name="_Hlk138342484"/>
      <w:r>
        <w:rPr/>
        <w:t>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w:t>
      </w:r>
      <w:bookmarkEnd w:id="420"/>
      <w:r>
        <w:rPr/>
        <w:t xml:space="preserve">; </w:t>
      </w:r>
      <w:bookmarkStart w:id="421" w:name="_Hlk138342546"/>
      <w:r>
        <w:rPr/>
        <w:t xml:space="preserve">наличия обеспечения обязательств Участника, связанного с подачей заявки, в виде банковской гарантии (в том числе наличие сведений о ней в соответствующем реестре в ЕИС) – в случае отсутствия внесенных Участником денежных средств на индивидуальный счет, открытый Участнику Оператором ЭП в соответствии с Регламентом ЭП </w:t>
      </w:r>
      <w:r>
        <w:rPr>
          <w:i/>
          <w:iCs/>
        </w:rPr>
        <w:t>(последние применяется только в случае установления соответствующих требований)</w:t>
      </w:r>
      <w:r>
        <w:rPr/>
        <w:t>; наличие у Участника статуса «аккредитован», либо статуса «аккредитация не требуется» (или наличие заявки на аккредитацию (при необходимости))</w:t>
      </w:r>
      <w:bookmarkEnd w:id="421"/>
      <w:r>
        <w:rPr/>
        <w:t xml:space="preserve">,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при установлении требования об обязательном привлечении к исполнению Договора субподрядчиков (соисполнителей) из числа субъектов МСП – проверка субподрядчиков (соисполнителей), указанных Участником в Плане распределения поставки продукции, на наличие информации о таком субподрядчике (соисполнителе)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bookmarkStart w:id="422" w:name="_Hlk138342572"/>
      <w:r>
        <w:rPr/>
        <w:t>–</w:t>
      </w:r>
      <w:bookmarkEnd w:id="422"/>
      <w:r>
        <w:rPr/>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(https://npd.nalog.ru/check-status/);</w:t>
      </w:r>
    </w:p>
    <w:p>
      <w:pPr>
        <w:pStyle w:val="Style30"/>
        <w:tabs>
          <w:tab w:val="clear" w:pos="708"/>
          <w:tab w:val="left" w:pos="1134" w:leader="none"/>
        </w:tabs>
        <w:ind w:left="1701" w:hanging="1701"/>
        <w:rPr/>
      </w:pPr>
      <w:r>
        <w:rPr>
          <w:b/>
          <w:bCs/>
        </w:rPr>
        <w:t>Тех</w:t>
      </w:r>
      <w:r>
        <w:rPr/>
        <w:tab/>
        <w:t>–</w:t>
        <w:tab/>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w:t>
      </w:r>
      <w:bookmarkStart w:id="423" w:name="_Hlk207284070"/>
      <w:r>
        <w:rPr/>
        <w:t>в целях применения законодательства о национальном режиме: а) при закупке товаров (в том числе поставляемых при выполнении работ, оказании услуг) – оценка сведений о стране происхождения предлагаемого к поставке товара; б) при закупке работ, услуг – оценка сведений о стране регистрации Участника (стране регистрации лица, согласно заявке выполняющего работу, оказывающего услугу)</w:t>
      </w:r>
      <w:bookmarkEnd w:id="423"/>
      <w:r>
        <w:rPr/>
        <w:t xml:space="preserve">; оценка Технических предложений и сведений, подтверждающих соответствия Участника квалификационным и специальным требованиям; </w:t>
      </w:r>
      <w:bookmarkStart w:id="424" w:name="_Hlk138342998"/>
      <w:r>
        <w:rPr/>
        <w:t>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bookmarkEnd w:id="424"/>
      <w:r>
        <w:rPr/>
        <w:t>;</w:t>
      </w:r>
    </w:p>
    <w:p>
      <w:pPr>
        <w:pStyle w:val="Style30"/>
        <w:tabs>
          <w:tab w:val="clear" w:pos="708"/>
          <w:tab w:val="left" w:pos="1134" w:leader="none"/>
        </w:tabs>
        <w:ind w:left="1701" w:hanging="1701"/>
        <w:rPr/>
      </w:pPr>
      <w:r>
        <w:rPr>
          <w:b/>
          <w:bCs/>
        </w:rPr>
        <w:t>Юр</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30"/>
        <w:keepNext w:val="true"/>
        <w:tabs>
          <w:tab w:val="clear" w:pos="708"/>
          <w:tab w:val="left" w:pos="1134" w:leader="none"/>
        </w:tabs>
        <w:ind w:left="1701" w:hanging="1701"/>
        <w:rPr/>
      </w:pPr>
      <w:r>
        <w:rPr>
          <w:b/>
          <w:bCs/>
        </w:rPr>
        <w:t>Цена</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языка и валюты заявки); проверка отсутствия противоречий в представленных в составе Коммерческого предложения (и приложениях к нему) документах; проверка соответствия подтверждающей документации (документации по ценообразованию), прилагаемой к Коммерческому приложению, требованиям, указанным в Технических требованиях (при наличии такой документации и если ее предоставление требовалось в Документации о закупке), в том числе в части непревышения ценового предложения участника установленного размера НМЦ;</w:t>
      </w:r>
    </w:p>
    <w:p>
      <w:pPr>
        <w:pStyle w:val="Style30"/>
        <w:tabs>
          <w:tab w:val="clear" w:pos="708"/>
          <w:tab w:val="left" w:pos="1134" w:leader="none"/>
        </w:tabs>
        <w:ind w:left="1701" w:hanging="1701"/>
        <w:rPr/>
      </w:pPr>
      <w:r>
        <w:rPr>
          <w:b/>
          <w:bCs/>
        </w:rPr>
        <w:t>Фин</w:t>
      </w:r>
      <w:r>
        <w:rPr/>
        <w:tab/>
        <w:t>–</w:t>
        <w:tab/>
        <w:t xml:space="preserve">оценка банковской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(финансовая экспертиза проводится по инициативе эксперта по направлениям Орг, в случае наличия в заявке банковской гарантии)</w:t>
      </w:r>
      <w:r>
        <w:rPr/>
        <w:t>.</w:t>
      </w:r>
    </w:p>
    <w:p>
      <w:pPr>
        <w:sectPr>
          <w:headerReference w:type="default" r:id="rId31"/>
          <w:headerReference w:type="first" r:id="rId32"/>
          <w:footerReference w:type="default" r:id="rId33"/>
          <w:footerReference w:type="first" r:id="rId34"/>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30"/>
        <w:rPr/>
      </w:pPr>
      <w:r>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24"/>
        <w:rPr/>
      </w:pPr>
      <w:bookmarkStart w:id="425" w:name="_Toc228976054"/>
      <w:bookmarkStart w:id="426" w:name="_Ref125369438"/>
      <w:bookmarkStart w:id="427" w:name="_Ref125369021"/>
      <w:bookmarkStart w:id="428" w:name="_Ref125368331"/>
      <w:bookmarkStart w:id="429" w:name="_Ref125368313"/>
      <w:bookmarkStart w:id="430" w:name="_Ref125368302"/>
      <w:bookmarkStart w:id="431" w:name="_Ref125368291"/>
      <w:bookmarkStart w:id="432" w:name="_Ref125368283"/>
      <w:bookmarkStart w:id="433" w:name="_Ref125368184"/>
      <w:bookmarkStart w:id="434" w:name="_Ref125368172"/>
      <w:bookmarkStart w:id="435" w:name="_Ref125368165"/>
      <w:bookmarkStart w:id="436" w:name="_Ref125368150"/>
      <w:bookmarkStart w:id="437" w:name="_Ref125368140"/>
      <w:bookmarkStart w:id="438" w:name="_Ref125366285"/>
      <w:bookmarkStart w:id="439" w:name="_Ref125366280"/>
      <w:bookmarkStart w:id="440" w:name="_Ref125366013"/>
      <w:bookmarkStart w:id="441" w:name="_Ref125361951"/>
      <w:bookmarkStart w:id="442" w:name="_Ref125361648"/>
      <w:bookmarkStart w:id="443" w:name="Прил08_ПорядокОценки"/>
      <w:bookmarkEnd w:id="443"/>
      <w:r>
        <w:rPr/>
        <w:t>Приложение № 8 – Порядок и критерии оценки и сопоставления заявок</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pPr>
        <w:pStyle w:val="Style25"/>
        <w:rPr/>
      </w:pPr>
      <w:bookmarkStart w:id="444" w:name="_Toc228976055"/>
      <w:r>
        <w:rPr/>
        <w:t>Порядок и критерии оценки и сопоставления заявок</w:t>
      </w:r>
      <w:bookmarkEnd w:id="444"/>
    </w:p>
    <w:p>
      <w:pPr>
        <w:pStyle w:val="Style26"/>
        <w:rPr/>
      </w:pPr>
      <w:r>
        <w:rPr/>
        <w:t>Оценка и сопоставление заявок, признанных Закупочной комиссией соответствующими по результатам рассмотрения заявок, осуществляется по единственному ценовому критерию – стоимость заявки (цена Договора) в едином базисе без учета НДС, с последующей ранжировкой заявок по мере повышения стоимости заявки (цены Договора). При этом первое место в ранжировке присваивается заявке с наименьшей ценой (расчетной ценой)</w:t>
      </w:r>
      <w:r>
        <w:rPr>
          <w:rStyle w:val="FootnoteReference"/>
        </w:rPr>
        <w:footnoteReference w:id="17"/>
      </w:r>
      <w:r>
        <w:rPr/>
        <w:t>.</w:t>
      </w:r>
    </w:p>
    <w:p>
      <w:pPr>
        <w:pStyle w:val="Style26"/>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_Ref186216127 \r \h </w:instrText>
      </w:r>
      <w:r>
        <w:rPr/>
        <w:fldChar w:fldCharType="separate"/>
      </w:r>
      <w:r>
        <w:rPr/>
        <w:t>4.13</w:t>
      </w:r>
      <w:r>
        <w:rPr/>
        <w:fldChar w:fldCharType="end"/>
      </w:r>
      <w:r>
        <w:rPr/>
        <w:t>.</w:t>
      </w:r>
    </w:p>
    <w:p>
      <w:pPr>
        <w:pStyle w:val="Style24"/>
        <w:rPr/>
      </w:pPr>
      <w:bookmarkStart w:id="445" w:name="_Toc228976056"/>
      <w:bookmarkStart w:id="446" w:name="Прил09_ОбоснованиеНМЦ"/>
      <w:bookmarkStart w:id="447" w:name="_Ref125360420"/>
      <w:bookmarkStart w:id="448" w:name="_Toc136261769"/>
      <w:bookmarkStart w:id="449" w:name="_Toc136261692"/>
      <w:bookmarkStart w:id="450" w:name="_Toc136249263"/>
      <w:bookmarkStart w:id="451" w:name="_Toc136261768"/>
      <w:bookmarkStart w:id="452" w:name="_Toc136261691"/>
      <w:bookmarkStart w:id="453" w:name="_Toc136249262"/>
      <w:bookmarkStart w:id="454" w:name="_Toc136261767"/>
      <w:bookmarkStart w:id="455" w:name="_Toc136261690"/>
      <w:bookmarkStart w:id="456" w:name="_Toc136249261"/>
      <w:bookmarkStart w:id="457" w:name="_Toc136261766"/>
      <w:bookmarkStart w:id="458" w:name="_Toc136261689"/>
      <w:bookmarkStart w:id="459" w:name="_Toc136249260"/>
      <w:bookmarkEnd w:id="448"/>
      <w:bookmarkEnd w:id="449"/>
      <w:bookmarkEnd w:id="450"/>
      <w:bookmarkEnd w:id="451"/>
      <w:bookmarkEnd w:id="452"/>
      <w:bookmarkEnd w:id="453"/>
      <w:bookmarkEnd w:id="454"/>
      <w:bookmarkEnd w:id="455"/>
      <w:bookmarkEnd w:id="456"/>
      <w:bookmarkEnd w:id="457"/>
      <w:bookmarkEnd w:id="458"/>
      <w:bookmarkEnd w:id="459"/>
      <w:r>
        <w:rPr/>
        <w:t>Приложение № 9 – Обоснование НМЦ</w:t>
      </w:r>
      <w:bookmarkEnd w:id="445"/>
      <w:bookmarkEnd w:id="446"/>
      <w:bookmarkEnd w:id="447"/>
    </w:p>
    <w:p>
      <w:pPr>
        <w:pStyle w:val="Style25"/>
        <w:rPr/>
      </w:pPr>
      <w:bookmarkStart w:id="460" w:name="_Toc228976057"/>
      <w:r>
        <w:rPr/>
        <w:t>Пояснения к Обоснованию НМЦ</w:t>
      </w:r>
      <w:bookmarkEnd w:id="460"/>
    </w:p>
    <w:p>
      <w:pPr>
        <w:pStyle w:val="Style26"/>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4"/>
        <w:rPr/>
      </w:pPr>
      <w:bookmarkStart w:id="461" w:name="_Toc228976058"/>
      <w:bookmarkStart w:id="462" w:name="Прил10_ЗаявкаНаАккредитацию"/>
      <w:bookmarkEnd w:id="462"/>
      <w:r>
        <w:rPr/>
        <w:t>Приложение № 10 – Форма Заявки на аккредитацию</w:t>
      </w:r>
      <w:bookmarkEnd w:id="461"/>
    </w:p>
    <w:p>
      <w:pPr>
        <w:pStyle w:val="Style25"/>
        <w:rPr/>
      </w:pPr>
      <w:bookmarkStart w:id="463" w:name="_Toc228976059"/>
      <w:r>
        <w:rPr/>
        <w:t>Пояснения к форме Заявки на аккредитацию</w:t>
      </w:r>
      <w:bookmarkEnd w:id="463"/>
    </w:p>
    <w:p>
      <w:pPr>
        <w:pStyle w:val="Style26"/>
        <w:rPr/>
      </w:pPr>
      <w:r>
        <w:rPr/>
        <w:t xml:space="preserve">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 </w:t>
      </w:r>
    </w:p>
    <w:p>
      <w:pPr>
        <w:pStyle w:val="Style26"/>
        <w:rPr/>
      </w:pPr>
      <w:r>
        <w:rPr/>
        <w:t xml:space="preserve">Заявка на аккредитацию предоставляется (в установленных Документацией о закупке случаях) Участником в составе своей заявки </w:t>
      </w:r>
      <w:bookmarkStart w:id="464" w:name="_Hlk207300788"/>
      <w:r>
        <w:rPr/>
        <w:t xml:space="preserve">только в электронном виде в формате </w:t>
      </w:r>
      <w:r>
        <w:rPr>
          <w:lang w:val="en-US"/>
        </w:rPr>
        <w:t>Microsoft</w:t>
      </w:r>
      <w:r>
        <w:rPr/>
        <w:t xml:space="preserve"> </w:t>
      </w:r>
      <w:r>
        <w:rPr>
          <w:lang w:val="en-US"/>
        </w:rPr>
        <w:t>Excel</w:t>
      </w:r>
      <w:r>
        <w:rPr/>
        <w:t xml:space="preserve"> (*.</w:t>
      </w:r>
      <w:r>
        <w:rPr>
          <w:lang w:val="en-US"/>
        </w:rPr>
        <w:t>xlsx</w:t>
      </w:r>
      <w:r>
        <w:rPr/>
        <w:t>))</w:t>
      </w:r>
      <w:bookmarkEnd w:id="464"/>
      <w:r>
        <w:rPr/>
        <w:t>.</w:t>
      </w:r>
      <w:bookmarkStart w:id="465" w:name="_MON_1761047498"/>
    </w:p>
    <w:p>
      <w:pPr>
        <w:pStyle w:val="Style30"/>
        <w:jc w:val="center"/>
        <w:rPr/>
      </w:pPr>
      <w:bookmarkEnd w:id="465"/>
      <w:r>
        <w:rPr/>
        <w:object>
          <v:shapetype id="_x0000_tole_rId35" coordsize="21600,21600" o:spt="ole_rId3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5" type="_x0000_tole_rId35" style="width:90.75pt;height:55.05pt;mso-wrap-distance-right:0pt" filled="f" o:ole="">
            <v:imagedata r:id="rId36" o:title=""/>
          </v:shape>
          <o:OLEObject Type="Embed" ProgID="Excel.Sheet.12" ShapeID="ole_rId35" DrawAspect="Icon" ObjectID="_810672573" r:id="rId35"/>
        </w:object>
      </w:r>
    </w:p>
    <w:p>
      <w:pPr>
        <w:pStyle w:val="Style24"/>
        <w:rPr/>
      </w:pPr>
      <w:bookmarkStart w:id="466" w:name="_Toc228976060"/>
      <w:bookmarkStart w:id="467" w:name="Прил11_Данные_бухотчетность"/>
      <w:r>
        <w:rPr/>
        <w:t xml:space="preserve">Приложение № 11 </w:t>
      </w:r>
      <w:bookmarkEnd w:id="467"/>
      <w:r>
        <w:rPr/>
        <w:t>– форма Данных бухгалтерской (финансовой) отчетности</w:t>
      </w:r>
      <w:bookmarkEnd w:id="466"/>
    </w:p>
    <w:p>
      <w:pPr>
        <w:pStyle w:val="Style25"/>
        <w:rPr/>
      </w:pPr>
      <w:bookmarkStart w:id="468" w:name="_Toc228976061"/>
      <w:r>
        <w:rPr/>
        <w:t>Пояснения к форме Данных бухгалтерской (финансовой) отчетности</w:t>
      </w:r>
      <w:bookmarkEnd w:id="468"/>
      <w:r>
        <w:rPr/>
        <w:t xml:space="preserve"> </w:t>
      </w:r>
    </w:p>
    <w:p>
      <w:pPr>
        <w:pStyle w:val="Style26"/>
        <w:rPr/>
      </w:pPr>
      <w:r>
        <w:rPr/>
        <w:t>Форма Данных бухгалтерской (финансовой) отчетности приведена в отдельном файле (предоставляется отдельным документом в составе Документации о закупке), являющимся Приложением № 11 к Документации о закупке.</w:t>
      </w:r>
    </w:p>
    <w:p>
      <w:pPr>
        <w:pStyle w:val="Normal"/>
        <w:rPr/>
      </w:pPr>
      <w:r>
        <w:rPr/>
      </w:r>
      <w:bookmarkStart w:id="469" w:name="_MON_1821256687"/>
      <w:bookmarkStart w:id="470" w:name="_MON_1821256687"/>
      <w:bookmarkEnd w:id="470"/>
    </w:p>
    <w:p>
      <w:pPr>
        <w:pStyle w:val="Normal"/>
        <w:jc w:val="center"/>
        <w:rPr/>
      </w:pPr>
      <w:bookmarkStart w:id="471" w:name="_Hlk210644436"/>
      <w:bookmarkStart w:id="472" w:name="_MON_1821256687_Копия_1"/>
      <w:bookmarkEnd w:id="472"/>
      <w:r>
        <w:rPr/>
        <w:object>
          <v:shapetype id="_x0000_tole_rId37" coordsize="21600,21600" o:spt="ole_rId37"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7" type="_x0000_tole_rId37" style="width:77.45pt;height:49.6pt;mso-wrap-distance-right:0pt" filled="f" o:ole="">
            <v:imagedata r:id="rId38" o:title=""/>
          </v:shape>
          <o:OLEObject Type="Embed" ProgID="Word.Document.12" ShapeID="ole_rId37" DrawAspect="Icon" ObjectID="_1706822129" r:id="rId37"/>
        </w:object>
      </w:r>
      <w:bookmarkEnd w:id="471"/>
    </w:p>
    <w:p>
      <w:pPr>
        <w:pStyle w:val="Normal"/>
        <w:jc w:val="center"/>
        <w:rPr/>
      </w:pPr>
      <w:r>
        <w:rPr/>
      </w:r>
    </w:p>
    <w:sectPr>
      <w:headerReference w:type="default" r:id="rId39"/>
      <w:headerReference w:type="first" r:id="rId40"/>
      <w:footerReference w:type="default" r:id="rId41"/>
      <w:footerReference w:type="first" r:id="rId42"/>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2"/>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75808115"/>
    </w:sdtPr>
    <w:sdtContent>
      <w:p>
        <w:pPr>
          <w:pStyle w:val="Footer"/>
          <w:spacing w:before="120" w:after="0"/>
          <w:rPr/>
        </w:pPr>
        <w:r>
          <w:rPr/>
          <w:fldChar w:fldCharType="begin"/>
        </w:r>
        <w:r>
          <w:rPr/>
          <w:instrText xml:space="preserve"> PAGE </w:instrText>
        </w:r>
        <w:r>
          <w:rPr/>
          <w:fldChar w:fldCharType="separate"/>
        </w:r>
        <w:r>
          <w:rPr/>
          <w:t>12</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70956730"/>
    </w:sdtPr>
    <w:sdtContent>
      <w:p>
        <w:pPr>
          <w:pStyle w:val="Footer"/>
          <w:spacing w:before="120" w:after="0"/>
          <w:rPr/>
        </w:pPr>
        <w:r>
          <w:rPr/>
          <w:fldChar w:fldCharType="begin"/>
        </w:r>
        <w:r>
          <w:rPr/>
          <w:instrText xml:space="preserve"> PAGE </w:instrText>
        </w:r>
        <w:r>
          <w:rPr/>
          <w:fldChar w:fldCharType="separate"/>
        </w:r>
        <w:r>
          <w:rPr/>
          <w:t>75</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66174352"/>
    </w:sdtPr>
    <w:sdtContent>
      <w:p>
        <w:pPr>
          <w:pStyle w:val="Footer"/>
          <w:spacing w:before="120" w:after="0"/>
          <w:rPr/>
        </w:pPr>
        <w:r>
          <w:rPr/>
          <w:fldChar w:fldCharType="begin"/>
        </w:r>
        <w:r>
          <w:rPr/>
          <w:instrText xml:space="preserve"> PAGE </w:instrText>
        </w:r>
        <w:r>
          <w:rPr/>
          <w:fldChar w:fldCharType="separate"/>
        </w:r>
        <w:r>
          <w:rPr/>
          <w:t>79</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44744820"/>
    </w:sdtPr>
    <w:sdtContent>
      <w:p>
        <w:pPr>
          <w:pStyle w:val="Footer"/>
          <w:spacing w:before="120" w:after="0"/>
          <w:rPr/>
        </w:pPr>
        <w:r>
          <w:rPr/>
          <w:fldChar w:fldCharType="begin"/>
        </w:r>
        <w:r>
          <w:rPr/>
          <w:instrText xml:space="preserve"> PAGE </w:instrText>
        </w:r>
        <w:r>
          <w:rPr/>
          <w:fldChar w:fldCharType="separate"/>
        </w:r>
        <w:r>
          <w:rPr/>
          <w:t>27</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6551599"/>
    </w:sdtPr>
    <w:sdtContent>
      <w:p>
        <w:pPr>
          <w:pStyle w:val="Footer"/>
          <w:spacing w:before="120" w:after="0"/>
          <w:rPr/>
        </w:pPr>
        <w:r>
          <w:rPr/>
          <w:fldChar w:fldCharType="begin"/>
        </w:r>
        <w:r>
          <w:rPr/>
          <w:instrText xml:space="preserve"> PAGE </w:instrText>
        </w:r>
        <w:r>
          <w:rPr/>
          <w:fldChar w:fldCharType="separate"/>
        </w:r>
        <w:r>
          <w:rPr/>
          <w:t>55</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02143861"/>
    </w:sdtPr>
    <w:sdtContent>
      <w:p>
        <w:pPr>
          <w:pStyle w:val="Footer"/>
          <w:spacing w:before="120" w:after="0"/>
          <w:rPr/>
        </w:pPr>
        <w:r>
          <w:rPr/>
          <w:fldChar w:fldCharType="begin"/>
        </w:r>
        <w:r>
          <w:rPr/>
          <w:instrText xml:space="preserve"> PAGE </w:instrText>
        </w:r>
        <w:r>
          <w:rPr/>
          <w:fldChar w:fldCharType="separate"/>
        </w:r>
        <w:r>
          <w:rPr/>
          <w:t>62</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99421512"/>
    </w:sdtPr>
    <w:sdtContent>
      <w:p>
        <w:pPr>
          <w:pStyle w:val="Footer"/>
          <w:spacing w:before="120" w:after="0"/>
          <w:rPr/>
        </w:pPr>
        <w:r>
          <w:rPr/>
          <w:fldChar w:fldCharType="begin"/>
        </w:r>
        <w:r>
          <w:rPr/>
          <w:instrText xml:space="preserve"> PAGE </w:instrText>
        </w:r>
        <w:r>
          <w:rPr/>
          <w:fldChar w:fldCharType="separate"/>
        </w:r>
        <w:r>
          <w:rPr/>
          <w:t>68</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2"/>
        <w:spacing w:before="80" w:after="0"/>
        <w:ind w:left="567" w:hanging="567"/>
        <w:jc w:val="both"/>
        <w:rPr/>
      </w:pPr>
      <w:r>
        <w:rPr>
          <w:rStyle w:val="Style13"/>
        </w:rPr>
        <w:footnoteRef/>
      </w:r>
      <w:r>
        <w:rPr/>
        <w:ta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p>
  </w:footnote>
  <w:footnote w:id="3">
    <w:p>
      <w:pPr>
        <w:pStyle w:val="Style32"/>
        <w:spacing w:before="80" w:after="0"/>
        <w:ind w:left="567" w:hanging="567"/>
        <w:jc w:val="both"/>
        <w:rPr/>
      </w:pPr>
      <w:r>
        <w:rPr>
          <w:rStyle w:val="Style13"/>
        </w:rPr>
        <w:footnoteRef/>
      </w:r>
      <w:r>
        <w:rPr/>
        <w:tab/>
        <w:t>Если при проведении аукциона цена была снижена до нуля, далее аукцион проводился на повышение стоимости заявки (цены Договора).</w:t>
      </w:r>
    </w:p>
  </w:footnote>
  <w:footnote w:id="4">
    <w:p>
      <w:pPr>
        <w:pStyle w:val="Style32"/>
        <w:spacing w:before="80" w:after="0"/>
        <w:ind w:left="567" w:hanging="567"/>
        <w:jc w:val="both"/>
        <w:rPr/>
      </w:pPr>
      <w:r>
        <w:rPr>
          <w:rStyle w:val="Style13"/>
        </w:rPr>
        <w:footnoteRef/>
      </w:r>
      <w:r>
        <w:rPr/>
        <w:tab/>
        <w:t>Определенные в соответствии с Законом 422-ФЗ.</w:t>
      </w:r>
    </w:p>
  </w:footnote>
  <w:footnote w:id="5">
    <w:p>
      <w:pPr>
        <w:pStyle w:val="Style32"/>
        <w:spacing w:before="80" w:after="0"/>
        <w:ind w:left="567" w:hanging="567"/>
        <w:jc w:val="both"/>
        <w:rPr/>
      </w:pPr>
      <w:r>
        <w:rPr>
          <w:rStyle w:val="Style13"/>
        </w:rPr>
        <w:footnoteRef/>
      </w:r>
      <w:r>
        <w:rPr/>
        <w:tab/>
        <w:t>С учетом пункта 4.14.6.</w:t>
      </w:r>
    </w:p>
  </w:footnote>
  <w:footnote w:id="6">
    <w:p>
      <w:pPr>
        <w:pStyle w:val="Style32"/>
        <w:spacing w:before="80" w:after="0"/>
        <w:ind w:left="567" w:hanging="567"/>
        <w:jc w:val="both"/>
        <w:rPr/>
      </w:pPr>
      <w:r>
        <w:rPr>
          <w:rStyle w:val="Style13"/>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w:t>
      </w:r>
    </w:p>
  </w:footnote>
  <w:footnote w:id="7">
    <w:p>
      <w:pPr>
        <w:pStyle w:val="Style32"/>
        <w:spacing w:before="80" w:after="0"/>
        <w:ind w:left="567" w:hanging="567"/>
        <w:jc w:val="both"/>
        <w:rPr/>
      </w:pPr>
      <w:r>
        <w:rPr>
          <w:rStyle w:val="Style13"/>
        </w:rPr>
        <w:footnoteRef/>
      </w:r>
      <w:r>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8">
    <w:p>
      <w:pPr>
        <w:pStyle w:val="Style32"/>
        <w:spacing w:before="80" w:after="0"/>
        <w:ind w:left="567" w:hanging="567"/>
        <w:jc w:val="both"/>
        <w:rPr/>
      </w:pPr>
      <w:r>
        <w:rPr>
          <w:rStyle w:val="Style13"/>
        </w:rPr>
        <w:footnoteRef/>
      </w:r>
      <w:r>
        <w:rPr/>
        <w:tab/>
        <w:t>Если при проведении аукциона цена была снижена до нуля и аукцион проводился на повышение стоимости заявки (цены Договора) – первое место в ранжировке присваивается заявке с наибольшей стоимостью заявки, а заявки ранжируется по мере понижения их стоимости (цены Договора).</w:t>
      </w:r>
    </w:p>
  </w:footnote>
  <w:footnote w:id="9">
    <w:p>
      <w:pPr>
        <w:pStyle w:val="Style32"/>
        <w:spacing w:before="80" w:after="0"/>
        <w:rPr>
          <w:szCs w:val="22"/>
        </w:rPr>
      </w:pPr>
      <w:r>
        <w:rPr>
          <w:rStyle w:val="Style13"/>
        </w:rPr>
        <w:footnoteRef/>
      </w:r>
      <w:r>
        <w:rPr>
          <w:szCs w:val="22"/>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0">
    <w:p>
      <w:pPr>
        <w:pStyle w:val="Style32"/>
        <w:spacing w:before="80" w:after="0"/>
        <w:ind w:left="567" w:hanging="567"/>
        <w:jc w:val="both"/>
        <w:rPr/>
      </w:pPr>
      <w:r>
        <w:rPr>
          <w:rStyle w:val="Style13"/>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 и Победителя.</w:t>
      </w:r>
    </w:p>
  </w:footnote>
  <w:footnote w:id="11">
    <w:p>
      <w:pPr>
        <w:pStyle w:val="Style32"/>
        <w:spacing w:before="80" w:after="0"/>
        <w:ind w:left="567" w:hanging="567"/>
        <w:jc w:val="both"/>
        <w:rPr/>
      </w:pPr>
      <w:r>
        <w:rPr>
          <w:rStyle w:val="Style13"/>
        </w:rPr>
        <w:footnoteRef/>
      </w:r>
      <w:r>
        <w:rPr/>
        <w:tab/>
        <w:t>https://minfin.gov.ru/ru/perfomance/tax_relations/policy/bankwarranty/</w:t>
      </w:r>
    </w:p>
  </w:footnote>
  <w:footnote w:id="12">
    <w:p>
      <w:pPr>
        <w:pStyle w:val="Normal"/>
        <w:spacing w:before="120" w:after="0"/>
        <w:jc w:val="both"/>
        <w:rPr>
          <w:sz w:val="22"/>
        </w:rPr>
      </w:pPr>
      <w:r>
        <w:rPr>
          <w:rStyle w:val="Style13"/>
        </w:rPr>
        <w:footnoteRef/>
      </w:r>
      <w:r>
        <w:rPr/>
        <w:t xml:space="preserve"> </w:t>
      </w:r>
      <w:r>
        <w:rPr>
          <w:sz w:val="22"/>
        </w:rPr>
        <w:t>Для Исполнительного аппарата и филиалов ПАО «РусГидро» — Арбитражный суд г. Москвы – в случаях, установленных Распоряжением ПАО «РусГидро» от 08.10.2025 № 548р «Об условиях договорной подсудности» или иными ЛНД(А), заменяющими его.</w:t>
      </w:r>
    </w:p>
  </w:footnote>
  <w:footnote w:id="13">
    <w:p>
      <w:pPr>
        <w:pStyle w:val="Style32"/>
        <w:spacing w:before="80" w:after="0"/>
        <w:ind w:left="567" w:hanging="567"/>
        <w:jc w:val="both"/>
        <w:rPr/>
      </w:pPr>
      <w:r>
        <w:rPr>
          <w:rStyle w:val="Style13"/>
        </w:rPr>
        <w:footnoteRef/>
      </w:r>
      <w:r>
        <w:rPr/>
        <w:tab/>
        <w:t>Коллективный участник предоставляет указанные документы на каждого члена.</w:t>
      </w:r>
    </w:p>
  </w:footnote>
  <w:footnote w:id="14">
    <w:p>
      <w:pPr>
        <w:pStyle w:val="Style32"/>
        <w:spacing w:before="80" w:after="0"/>
        <w:ind w:left="567" w:hanging="567"/>
        <w:jc w:val="both"/>
        <w:rPr/>
      </w:pPr>
      <w:r>
        <w:rPr>
          <w:rStyle w:val="Style13"/>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Победителя.</w:t>
      </w:r>
    </w:p>
  </w:footnote>
  <w:footnote w:id="15">
    <w:p>
      <w:pPr>
        <w:pStyle w:val="Style32"/>
        <w:spacing w:before="80" w:after="0"/>
        <w:ind w:left="567" w:hanging="567"/>
        <w:jc w:val="both"/>
        <w:rPr/>
      </w:pPr>
      <w:r>
        <w:rPr>
          <w:rStyle w:val="Style13"/>
        </w:rPr>
        <w:footnoteRef/>
      </w:r>
      <w:bookmarkStart w:id="473" w:name="_Hlk139028796_Копия_1_Копия_1_Копия_1_Ко"/>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473"/>
    </w:p>
  </w:footnote>
  <w:footnote w:id="16">
    <w:p>
      <w:pPr>
        <w:pStyle w:val="Style32"/>
        <w:spacing w:before="80" w:after="0"/>
        <w:ind w:left="567" w:hanging="567"/>
        <w:jc w:val="both"/>
        <w:rPr/>
      </w:pPr>
      <w:r>
        <w:rPr>
          <w:rStyle w:val="Style13"/>
        </w:rPr>
        <w:footnoteRef/>
      </w:r>
      <w:bookmarkStart w:id="474" w:name="_Hlk139028803_Копия_1_Копия_1_Копия_1_Ко"/>
      <w:bookmarkStart w:id="475" w:name="_Hlk139028804_Копия_1_Копия_1_Копия_1_Ко"/>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_Ref138232981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474"/>
      <w:bookmarkEnd w:id="475"/>
    </w:p>
  </w:footnote>
  <w:footnote w:id="17">
    <w:p>
      <w:pPr>
        <w:pStyle w:val="Style32"/>
        <w:spacing w:before="80" w:after="0"/>
        <w:ind w:left="567" w:hanging="567"/>
        <w:jc w:val="both"/>
        <w:rPr/>
      </w:pPr>
      <w:r>
        <w:rPr>
          <w:rStyle w:val="Style13"/>
        </w:rPr>
        <w:footnoteRef/>
      </w:r>
      <w:r>
        <w:rPr/>
        <w:tab/>
        <w:t>Если при проведении аукциона цена была снижена до нуля и аукцион проводился на повышение стоимости заявки (цены Договора) – первое место в ранжировке присваивается заявке с наибольшей стоимостью заявки, а заявки ранжируется по мере понижения их стоимости (цены Договора).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4"/>
      <w:numFmt w:val="decimal"/>
      <w:lvlText w:val="%1."/>
      <w:lvlJc w:val="left"/>
      <w:pPr>
        <w:tabs>
          <w:tab w:val="num" w:pos="1134"/>
        </w:tabs>
        <w:ind w:left="1134" w:hanging="1134"/>
      </w:pPr>
      <w:rPr/>
    </w:lvl>
    <w:lvl w:ilvl="1">
      <w:start w:val="1"/>
      <w:pStyle w:val="Style25"/>
      <w:numFmt w:val="decimal"/>
      <w:lvlText w:val="%1.%2"/>
      <w:lvlJc w:val="left"/>
      <w:pPr>
        <w:tabs>
          <w:tab w:val="num" w:pos="1134"/>
        </w:tabs>
        <w:ind w:left="1134" w:hanging="1134"/>
      </w:pPr>
      <w:rPr/>
    </w:lvl>
    <w:lvl w:ilvl="2">
      <w:start w:val="1"/>
      <w:pStyle w:val="Style26"/>
      <w:numFmt w:val="decimal"/>
      <w:lvlText w:val="%1.%2.%3"/>
      <w:lvlJc w:val="left"/>
      <w:pPr>
        <w:tabs>
          <w:tab w:val="num" w:pos="1134"/>
        </w:tabs>
        <w:ind w:left="1134" w:hanging="1134"/>
      </w:pPr>
      <w:rPr/>
    </w:lvl>
    <w:lvl w:ilvl="3">
      <w:start w:val="1"/>
      <w:pStyle w:val="Style27"/>
      <w:numFmt w:val="russianLower"/>
      <w:lvlText w:val="%4)"/>
      <w:lvlJc w:val="left"/>
      <w:pPr>
        <w:tabs>
          <w:tab w:val="num" w:pos="1701"/>
        </w:tabs>
        <w:ind w:left="1701" w:hanging="567"/>
      </w:pPr>
      <w:rPr/>
    </w:lvl>
    <w:lvl w:ilvl="4">
      <w:start w:val="1"/>
      <w:pStyle w:val="Style28"/>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russianLower"/>
      <w:lvlText w:val="%1)"/>
      <w:lvlJc w:val="left"/>
      <w:pPr>
        <w:tabs>
          <w:tab w:val="num" w:pos="0"/>
        </w:tabs>
        <w:ind w:left="1918" w:hanging="360"/>
      </w:pPr>
      <w:rPr/>
    </w:lvl>
    <w:lvl w:ilvl="1">
      <w:start w:val="1"/>
      <w:numFmt w:val="lowerLetter"/>
      <w:lvlText w:val="%2."/>
      <w:lvlJc w:val="left"/>
      <w:pPr>
        <w:tabs>
          <w:tab w:val="num" w:pos="0"/>
        </w:tabs>
        <w:ind w:left="2638" w:hanging="360"/>
      </w:pPr>
      <w:rPr/>
    </w:lvl>
    <w:lvl w:ilvl="2">
      <w:start w:val="1"/>
      <w:numFmt w:val="lowerRoman"/>
      <w:lvlText w:val="%3."/>
      <w:lvlJc w:val="right"/>
      <w:pPr>
        <w:tabs>
          <w:tab w:val="num" w:pos="0"/>
        </w:tabs>
        <w:ind w:left="3358" w:hanging="180"/>
      </w:pPr>
      <w:rPr/>
    </w:lvl>
    <w:lvl w:ilvl="3">
      <w:start w:val="1"/>
      <w:numFmt w:val="decimal"/>
      <w:lvlText w:val="%4."/>
      <w:lvlJc w:val="left"/>
      <w:pPr>
        <w:tabs>
          <w:tab w:val="num" w:pos="0"/>
        </w:tabs>
        <w:ind w:left="4078" w:hanging="360"/>
      </w:pPr>
      <w:rPr/>
    </w:lvl>
    <w:lvl w:ilvl="4">
      <w:start w:val="1"/>
      <w:numFmt w:val="lowerLetter"/>
      <w:lvlText w:val="%5."/>
      <w:lvlJc w:val="left"/>
      <w:pPr>
        <w:tabs>
          <w:tab w:val="num" w:pos="0"/>
        </w:tabs>
        <w:ind w:left="4798" w:hanging="360"/>
      </w:pPr>
      <w:rPr/>
    </w:lvl>
    <w:lvl w:ilvl="5">
      <w:start w:val="1"/>
      <w:numFmt w:val="lowerRoman"/>
      <w:lvlText w:val="%6."/>
      <w:lvlJc w:val="right"/>
      <w:pPr>
        <w:tabs>
          <w:tab w:val="num" w:pos="0"/>
        </w:tabs>
        <w:ind w:left="5518" w:hanging="180"/>
      </w:pPr>
      <w:rPr/>
    </w:lvl>
    <w:lvl w:ilvl="6">
      <w:start w:val="1"/>
      <w:numFmt w:val="decimal"/>
      <w:lvlText w:val="%7."/>
      <w:lvlJc w:val="left"/>
      <w:pPr>
        <w:tabs>
          <w:tab w:val="num" w:pos="0"/>
        </w:tabs>
        <w:ind w:left="6238" w:hanging="360"/>
      </w:pPr>
      <w:rPr/>
    </w:lvl>
    <w:lvl w:ilvl="7">
      <w:start w:val="1"/>
      <w:numFmt w:val="lowerLetter"/>
      <w:lvlText w:val="%8."/>
      <w:lvlJc w:val="left"/>
      <w:pPr>
        <w:tabs>
          <w:tab w:val="num" w:pos="0"/>
        </w:tabs>
        <w:ind w:left="6958" w:hanging="360"/>
      </w:pPr>
      <w:rPr/>
    </w:lvl>
    <w:lvl w:ilvl="8">
      <w:start w:val="1"/>
      <w:numFmt w:val="lowerRoman"/>
      <w:lvlText w:val="%9."/>
      <w:lvlJc w:val="right"/>
      <w:pPr>
        <w:tabs>
          <w:tab w:val="num" w:pos="0"/>
        </w:tabs>
        <w:ind w:left="7678" w:hanging="180"/>
      </w:pPr>
      <w:rPr/>
    </w:lvl>
  </w:abstractNum>
  <w:abstractNum w:abstractNumId="18">
    <w:lvl w:ilvl="0">
      <w:start w:val="1"/>
      <w:numFmt w:val="decimal"/>
      <w:lvlText w:val="%1."/>
      <w:lvlJc w:val="left"/>
      <w:pPr>
        <w:tabs>
          <w:tab w:val="num" w:pos="851"/>
        </w:tabs>
        <w:ind w:left="0" w:hanging="0"/>
      </w:pPr>
      <w:rPr/>
    </w:lvl>
    <w:lvl w:ilvl="1">
      <w:start w:val="1"/>
      <w:numFmt w:val="decimal"/>
      <w:lvlText w:val="%1.%2."/>
      <w:lvlJc w:val="left"/>
      <w:pPr>
        <w:tabs>
          <w:tab w:val="num" w:pos="0"/>
        </w:tabs>
        <w:ind w:left="1418" w:hanging="1418"/>
      </w:pPr>
      <w:rPr>
        <w:smallCaps w:val="false"/>
        <w:caps w:val="false"/>
        <w:dstrike w:val="false"/>
        <w:strike w:val="false"/>
        <w:vertAlign w:val="baseline"/>
        <w:position w:val="0"/>
        <w:sz w:val="28"/>
        <w:sz w:val="28"/>
        <w:spacing w:val="0"/>
        <w:i w:val="false"/>
        <w:u w:val="none"/>
        <w:b/>
        <w:kern w:val="0"/>
        <w:effect w:val="none"/>
        <w:szCs w:val="28"/>
        <w:iCs w:val="false"/>
        <w:bCs/>
        <w:em w:val="none"/>
        <w:vanish w:val="false"/>
        <w:rFonts w:ascii="Times New Roman" w:hAnsi="Times New Roman" w:cs="Times New Roman"/>
        <w:color w:val="000000"/>
        <w:lang w:bidi="x-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1"/>
        </w:tabs>
        <w:ind w:left="1418" w:hanging="1418"/>
      </w:pPr>
      <w:rPr>
        <w:sz w:val="28"/>
        <w:b w:val="false"/>
        <w:szCs w:val="28"/>
        <w:bCs/>
      </w:rPr>
    </w:lvl>
    <w:lvl w:ilvl="3">
      <w:start w:val="1"/>
      <w:numFmt w:val="decimal"/>
      <w:lvlText w:val="%1.%2.%3.%4."/>
      <w:lvlJc w:val="left"/>
      <w:pPr>
        <w:tabs>
          <w:tab w:val="num" w:pos="1701"/>
        </w:tabs>
        <w:ind w:left="1418" w:hanging="1418"/>
      </w:pPr>
      <w:rPr>
        <w:smallCaps w:val="false"/>
        <w:caps w:val="false"/>
        <w:dstrike w:val="false"/>
        <w:strike w:val="false"/>
        <w:vertAlign w:val="baseline"/>
        <w:position w:val="0"/>
        <w:sz w:val="28"/>
        <w:sz w:val="28"/>
        <w:spacing w:val="0"/>
        <w:i w:val="false"/>
        <w:u w:val="none"/>
        <w:b w:val="false"/>
        <w:kern w:val="0"/>
        <w:effect w:val="none"/>
        <w:szCs w:val="28"/>
        <w:iCs w:val="false"/>
        <w:bCs/>
        <w:em w:val="none"/>
        <w:vanish w:val="false"/>
        <w:rFonts w:ascii="Times New Roman" w:hAnsi="Times New Roman" w:cs="Times New Roman"/>
        <w:color w:val="000000"/>
        <w14:shadow w14:blurRad="0" w14:dist="0" w14:dir="0" w14:sx="0" w14:sy="0" w14:kx="0" w14:ky="0" w14:algn="none">
          <w14:srgbClr w14:val="000000"/>
        </w14:shadow>
        <w14:textOutline w14:w="0" w14:cap="rnd" w14:cmpd="sng" w14:algn="ctr">
          <w14:noFill/>
          <w14:prstDash w14:val="solid"/>
          <w14:bevel/>
        </w14:textOutline>
      </w:rPr>
    </w:lvl>
    <w:lvl w:ilvl="4">
      <w:start w:val="1"/>
      <w:numFmt w:val="russianLower"/>
      <w:lvlText w:val="%5)"/>
      <w:lvlJc w:val="left"/>
      <w:pPr>
        <w:tabs>
          <w:tab w:val="num" w:pos="1985"/>
        </w:tabs>
        <w:ind w:left="1985" w:hanging="567"/>
      </w:pPr>
      <w:rPr>
        <w:smallCaps w:val="false"/>
        <w:caps w:val="false"/>
        <w:outline w:val="false"/>
        <w:dstrike w:val="false"/>
        <w:strike w:val="false"/>
        <w:vertAlign w:val="baseline"/>
        <w:position w:val="0"/>
        <w:sz w:val="26"/>
        <w:sz w:val="26"/>
        <w:spacing w:val="0"/>
        <w:i w:val="false"/>
        <w:shadow w:val="false"/>
        <w:u w:val="none"/>
        <w:b w:val="false"/>
        <w:kern w:val="0"/>
        <w:effect w:val="none"/>
        <w:iCs w:val="false"/>
        <w:bCs w:val="false"/>
        <w:em w:val="none"/>
        <w:emboss w:val="false"/>
        <w:imprint w:val="false"/>
        <w:vanish w:val="false"/>
        <w:rFonts w:ascii="Times New Roman" w:hAnsi="Times New Roman" w:cs="Times New Roman"/>
        <w14:cntxtAlts>
          <w14:cntxtAlts/>
        </w14:cntxtAlts>
        <w14:glow w14:rad="0">
          <w14:srgbClr w14:val="000000"/>
        </w14:glow>
        <w14:ligatures w14:val="none"/>
        <w14:numForm w14:val="default"/>
        <w14:numSpacing w14:val="default"/>
        <w14:props3d w14:extrusionH="0" w14:contourW="0" w14:prstMaterial="none"/>
        <w14:reflection w14:blurRad="0" w14:stA="0" w14:stPos="0" w14:endA="0" w14:endPos="0" w14:dist="0" w14:dir="0" w14:fadeDir="0" w14:sx="0" w14:sy="0" w14:kx="0" w14:ky="0" w14:algn="none"/>
        <w14:scene3d>
          <w14:camera w14:prst="orthographicFront"/>
          <w14:lightRig w14:rig="threePt" w14:dir="t">
            <w14:rot w14:lat="0" w14:lon="0" w14:rev="0"/>
          </w14:lightRig>
        </w14:scene3d>
        <w14:shadow w14:blurRad="0" w14:dist="0" w14:dir="0" w14:sx="0" w14:sy="0" w14:kx="0" w14:ky="0" w14:algn="none">
          <w14:srgbClr w14:val="000000"/>
        </w14:shadow>
        <w14:stylisticSets/>
        <w14:textOutline w14:w="0" w14:cap="rnd" w14:cmpd="sng" w14:algn="ctr">
          <w14:noFill/>
          <w14:prstDash w14:val="solid"/>
          <w14:bevel/>
        </w14:textOutline>
      </w:rPr>
    </w:lvl>
    <w:lvl w:ilvl="5">
      <w:start w:val="1"/>
      <w:numFmt w:val="bullet"/>
      <w:lvlText w:val=""/>
      <w:lvlJc w:val="left"/>
      <w:pPr>
        <w:tabs>
          <w:tab w:val="num" w:pos="1985"/>
        </w:tabs>
        <w:ind w:left="1985" w:hanging="567"/>
      </w:pPr>
      <w:rPr>
        <w:rFonts w:ascii="Symbol" w:hAnsi="Symbol" w:cs="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start w:val="1"/>
      <w:numFmt w:val="decimal"/>
      <w:lvlText w:val="%1)"/>
      <w:lvlJc w:val="left"/>
      <w:pPr>
        <w:tabs>
          <w:tab w:val="num" w:pos="0"/>
        </w:tabs>
        <w:ind w:left="2705" w:hanging="360"/>
      </w:pPr>
      <w:rPr/>
    </w:lvl>
    <w:lvl w:ilvl="1">
      <w:start w:val="1"/>
      <w:numFmt w:val="lowerLetter"/>
      <w:lvlText w:val="%2."/>
      <w:lvlJc w:val="left"/>
      <w:pPr>
        <w:tabs>
          <w:tab w:val="num" w:pos="0"/>
        </w:tabs>
        <w:ind w:left="3425" w:hanging="360"/>
      </w:pPr>
      <w:rPr/>
    </w:lvl>
    <w:lvl w:ilvl="2">
      <w:start w:val="1"/>
      <w:numFmt w:val="lowerRoman"/>
      <w:lvlText w:val="%3."/>
      <w:lvlJc w:val="right"/>
      <w:pPr>
        <w:tabs>
          <w:tab w:val="num" w:pos="0"/>
        </w:tabs>
        <w:ind w:left="4145" w:hanging="180"/>
      </w:pPr>
      <w:rPr/>
    </w:lvl>
    <w:lvl w:ilvl="3">
      <w:start w:val="1"/>
      <w:numFmt w:val="decimal"/>
      <w:lvlText w:val="%4."/>
      <w:lvlJc w:val="left"/>
      <w:pPr>
        <w:tabs>
          <w:tab w:val="num" w:pos="0"/>
        </w:tabs>
        <w:ind w:left="4865" w:hanging="360"/>
      </w:pPr>
      <w:rPr/>
    </w:lvl>
    <w:lvl w:ilvl="4">
      <w:start w:val="1"/>
      <w:numFmt w:val="lowerLetter"/>
      <w:lvlText w:val="%5."/>
      <w:lvlJc w:val="left"/>
      <w:pPr>
        <w:tabs>
          <w:tab w:val="num" w:pos="0"/>
        </w:tabs>
        <w:ind w:left="5585" w:hanging="360"/>
      </w:pPr>
      <w:rPr/>
    </w:lvl>
    <w:lvl w:ilvl="5">
      <w:start w:val="1"/>
      <w:numFmt w:val="lowerRoman"/>
      <w:lvlText w:val="%6."/>
      <w:lvlJc w:val="right"/>
      <w:pPr>
        <w:tabs>
          <w:tab w:val="num" w:pos="0"/>
        </w:tabs>
        <w:ind w:left="6305" w:hanging="180"/>
      </w:pPr>
      <w:rPr/>
    </w:lvl>
    <w:lvl w:ilvl="6">
      <w:start w:val="1"/>
      <w:numFmt w:val="decimal"/>
      <w:lvlText w:val="%7."/>
      <w:lvlJc w:val="left"/>
      <w:pPr>
        <w:tabs>
          <w:tab w:val="num" w:pos="0"/>
        </w:tabs>
        <w:ind w:left="7025" w:hanging="360"/>
      </w:pPr>
      <w:rPr/>
    </w:lvl>
    <w:lvl w:ilvl="7">
      <w:start w:val="1"/>
      <w:numFmt w:val="lowerLetter"/>
      <w:lvlText w:val="%8."/>
      <w:lvlJc w:val="left"/>
      <w:pPr>
        <w:tabs>
          <w:tab w:val="num" w:pos="0"/>
        </w:tabs>
        <w:ind w:left="7745" w:hanging="360"/>
      </w:pPr>
      <w:rPr/>
    </w:lvl>
    <w:lvl w:ilvl="8">
      <w:start w:val="1"/>
      <w:numFmt w:val="lowerRoman"/>
      <w:lvlText w:val="%9."/>
      <w:lvlJc w:val="right"/>
      <w:pPr>
        <w:tabs>
          <w:tab w:val="num" w:pos="0"/>
        </w:tabs>
        <w:ind w:left="8465" w:hanging="180"/>
      </w:pPr>
      <w:rPr/>
    </w:lvl>
  </w:abstractNum>
  <w:abstractNum w:abstractNumId="20">
    <w:lvl w:ilvl="0">
      <w:start w:val="1"/>
      <w:numFmt w:val="bullet"/>
      <w:lvlText w:val=""/>
      <w:lvlJc w:val="left"/>
      <w:pPr>
        <w:tabs>
          <w:tab w:val="num" w:pos="0"/>
        </w:tabs>
        <w:ind w:left="2705" w:hanging="360"/>
      </w:pPr>
      <w:rPr>
        <w:rFonts w:ascii="Symbol" w:hAnsi="Symbol" w:cs="Symbol" w:hint="default"/>
      </w:rPr>
    </w:lvl>
    <w:lvl w:ilvl="1">
      <w:start w:val="1"/>
      <w:numFmt w:val="lowerLetter"/>
      <w:lvlText w:val="%2."/>
      <w:lvlJc w:val="left"/>
      <w:pPr>
        <w:tabs>
          <w:tab w:val="num" w:pos="0"/>
        </w:tabs>
        <w:ind w:left="3425" w:hanging="360"/>
      </w:pPr>
      <w:rPr/>
    </w:lvl>
    <w:lvl w:ilvl="2">
      <w:start w:val="1"/>
      <w:numFmt w:val="lowerRoman"/>
      <w:lvlText w:val="%3."/>
      <w:lvlJc w:val="right"/>
      <w:pPr>
        <w:tabs>
          <w:tab w:val="num" w:pos="0"/>
        </w:tabs>
        <w:ind w:left="4145" w:hanging="180"/>
      </w:pPr>
      <w:rPr/>
    </w:lvl>
    <w:lvl w:ilvl="3">
      <w:start w:val="1"/>
      <w:numFmt w:val="decimal"/>
      <w:lvlText w:val="%4."/>
      <w:lvlJc w:val="left"/>
      <w:pPr>
        <w:tabs>
          <w:tab w:val="num" w:pos="0"/>
        </w:tabs>
        <w:ind w:left="4865" w:hanging="360"/>
      </w:pPr>
      <w:rPr/>
    </w:lvl>
    <w:lvl w:ilvl="4">
      <w:start w:val="1"/>
      <w:numFmt w:val="lowerLetter"/>
      <w:lvlText w:val="%5."/>
      <w:lvlJc w:val="left"/>
      <w:pPr>
        <w:tabs>
          <w:tab w:val="num" w:pos="0"/>
        </w:tabs>
        <w:ind w:left="5585" w:hanging="360"/>
      </w:pPr>
      <w:rPr/>
    </w:lvl>
    <w:lvl w:ilvl="5">
      <w:start w:val="1"/>
      <w:numFmt w:val="lowerRoman"/>
      <w:lvlText w:val="%6."/>
      <w:lvlJc w:val="right"/>
      <w:pPr>
        <w:tabs>
          <w:tab w:val="num" w:pos="0"/>
        </w:tabs>
        <w:ind w:left="6305" w:hanging="180"/>
      </w:pPr>
      <w:rPr/>
    </w:lvl>
    <w:lvl w:ilvl="6">
      <w:start w:val="1"/>
      <w:numFmt w:val="decimal"/>
      <w:lvlText w:val="%7."/>
      <w:lvlJc w:val="left"/>
      <w:pPr>
        <w:tabs>
          <w:tab w:val="num" w:pos="0"/>
        </w:tabs>
        <w:ind w:left="7025" w:hanging="360"/>
      </w:pPr>
      <w:rPr/>
    </w:lvl>
    <w:lvl w:ilvl="7">
      <w:start w:val="1"/>
      <w:numFmt w:val="lowerLetter"/>
      <w:lvlText w:val="%8."/>
      <w:lvlJc w:val="left"/>
      <w:pPr>
        <w:tabs>
          <w:tab w:val="num" w:pos="0"/>
        </w:tabs>
        <w:ind w:left="7745" w:hanging="360"/>
      </w:pPr>
      <w:rPr/>
    </w:lvl>
    <w:lvl w:ilvl="8">
      <w:start w:val="1"/>
      <w:numFmt w:val="lowerRoman"/>
      <w:lvlText w:val="%9."/>
      <w:lvlJc w:val="right"/>
      <w:pPr>
        <w:tabs>
          <w:tab w:val="num" w:pos="0"/>
        </w:tabs>
        <w:ind w:left="84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16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uiPriority="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917933"/>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uiPriority w:val="1"/>
    <w:qFormat/>
    <w:rsid w:val="00277346"/>
    <w:rPr>
      <w:i/>
      <w:iCs/>
      <w:shd w:fill="FFFF99" w:val="clear"/>
      <w:lang w:val="ru-RU"/>
    </w:rPr>
  </w:style>
  <w:style w:type="character" w:styleId="Style12" w:customStyle="1">
    <w:name w:val="Текст сноски Знак"/>
    <w:basedOn w:val="DefaultParagraphFont"/>
    <w:uiPriority w:val="99"/>
    <w:semiHidden/>
    <w:qFormat/>
    <w:rsid w:val="006608d1"/>
    <w:rPr>
      <w:sz w:val="20"/>
      <w:szCs w:val="20"/>
    </w:rPr>
  </w:style>
  <w:style w:type="character" w:styleId="Style13">
    <w:name w:val="Символ сноски"/>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uiPriority w:val="1"/>
    <w:qFormat/>
    <w:rsid w:val="00c558e6"/>
    <w:rPr>
      <w:color w:val="000000"/>
      <w:spacing w:val="0"/>
      <w:u w:val="dotted" w:color="4472C4"/>
      <w:shd w:fill="auto" w:val="clear"/>
      <w:lang w:val="ru-RU"/>
    </w:rPr>
  </w:style>
  <w:style w:type="character" w:styleId="Annotationreference">
    <w:name w:val="annotation reference"/>
    <w:basedOn w:val="DefaultParagraphFont"/>
    <w:unhideWhenUsed/>
    <w:qFormat/>
    <w:rsid w:val="007e365e"/>
    <w:rPr>
      <w:sz w:val="16"/>
      <w:szCs w:val="16"/>
    </w:rPr>
  </w:style>
  <w:style w:type="character" w:styleId="Style15" w:customStyle="1">
    <w:name w:val="Текст примечания Знак"/>
    <w:basedOn w:val="DefaultParagraphFont"/>
    <w:link w:val="Annotationtext"/>
    <w:uiPriority w:val="99"/>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79507d"/>
    <w:rPr>
      <w:rFonts w:ascii="Segoe UI" w:hAnsi="Segoe UI" w:cs="Segoe UI"/>
      <w:sz w:val="18"/>
      <w:szCs w:val="18"/>
    </w:rPr>
  </w:style>
  <w:style w:type="character" w:styleId="Style19" w:customStyle="1">
    <w:name w:val="РГ_ЕПоЗ_а) Знак"/>
    <w:basedOn w:val="DefaultParagraphFont"/>
    <w:link w:val="Style34"/>
    <w:qFormat/>
    <w:rsid w:val="00ad49fe"/>
    <w:rPr>
      <w:rFonts w:eastAsia="Calibri" w:cs="Times New Roman"/>
      <w:sz w:val="28"/>
      <w:szCs w:val="28"/>
    </w:rPr>
  </w:style>
  <w:style w:type="character" w:styleId="-" w:customStyle="1">
    <w:name w:val="РГ_ЕПоЗ_- Знак"/>
    <w:basedOn w:val="DefaultParagraphFont"/>
    <w:link w:val="-1"/>
    <w:qFormat/>
    <w:rsid w:val="00ad49fe"/>
    <w:rPr>
      <w:rFonts w:eastAsia="Times New Roman" w:cs="Times New Roman"/>
      <w:sz w:val="28"/>
      <w:szCs w:val="20"/>
      <w:lang w:eastAsia="ru-RU"/>
    </w:rPr>
  </w:style>
  <w:style w:type="character" w:styleId="Style20">
    <w:name w:val="Ссылка указателя"/>
    <w:qFormat/>
    <w:rPr/>
  </w:style>
  <w:style w:type="character" w:styleId="Style21">
    <w:name w:val="Символ концевой сноски"/>
    <w:qFormat/>
    <w:rPr>
      <w:vertAlign w:val="superscript"/>
    </w:rPr>
  </w:style>
  <w:style w:type="character" w:styleId="EndnoteReference">
    <w:name w:val="Endnote Reference"/>
    <w:rPr>
      <w:vertAlign w:val="superscript"/>
    </w:rPr>
  </w:style>
  <w:style w:type="paragraph" w:styleId="Style22">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Style23">
    <w:name w:val="Указатель"/>
    <w:basedOn w:val="Normal"/>
    <w:qFormat/>
    <w:pPr>
      <w:suppressLineNumbers/>
    </w:pPr>
    <w:rPr>
      <w:rFonts w:cs="Arial Unicode MS"/>
    </w:rPr>
  </w:style>
  <w:style w:type="paragraph" w:styleId="Style24" w:customStyle="1">
    <w:name w:val="[РГ] Раздел"/>
    <w:basedOn w:val="Normal"/>
    <w:next w:val="Style25"/>
    <w:qFormat/>
    <w:rsid w:val="00c95e18"/>
    <w:pPr>
      <w:keepNext w:val="true"/>
      <w:pageBreakBefore/>
      <w:numPr>
        <w:ilvl w:val="0"/>
        <w:numId w:val="1"/>
      </w:numPr>
      <w:spacing w:before="0" w:after="360"/>
      <w:jc w:val="both"/>
      <w:outlineLvl w:val="0"/>
    </w:pPr>
    <w:rPr>
      <w:b/>
      <w:bCs/>
      <w:caps/>
    </w:rPr>
  </w:style>
  <w:style w:type="paragraph" w:styleId="Style25" w:customStyle="1">
    <w:name w:val="[РГ] Подраздел"/>
    <w:basedOn w:val="Normal"/>
    <w:next w:val="Style26"/>
    <w:qFormat/>
    <w:rsid w:val="00891546"/>
    <w:pPr>
      <w:keepNext w:val="true"/>
      <w:numPr>
        <w:ilvl w:val="1"/>
        <w:numId w:val="1"/>
      </w:numPr>
      <w:spacing w:before="360" w:after="0"/>
      <w:jc w:val="both"/>
      <w:outlineLvl w:val="1"/>
    </w:pPr>
    <w:rPr>
      <w:b/>
      <w:bCs/>
    </w:rPr>
  </w:style>
  <w:style w:type="paragraph" w:styleId="Style26" w:customStyle="1">
    <w:name w:val="[РГ] Пункт"/>
    <w:basedOn w:val="Normal"/>
    <w:qFormat/>
    <w:rsid w:val="00891546"/>
    <w:pPr>
      <w:numPr>
        <w:ilvl w:val="2"/>
        <w:numId w:val="1"/>
      </w:numPr>
      <w:jc w:val="both"/>
      <w:outlineLvl w:val="2"/>
    </w:pPr>
    <w:rPr/>
  </w:style>
  <w:style w:type="paragraph" w:styleId="Style27" w:customStyle="1">
    <w:name w:val="[РГ] Подпункт"/>
    <w:basedOn w:val="Normal"/>
    <w:qFormat/>
    <w:rsid w:val="00891546"/>
    <w:pPr>
      <w:numPr>
        <w:ilvl w:val="3"/>
        <w:numId w:val="1"/>
      </w:numPr>
      <w:jc w:val="both"/>
      <w:outlineLvl w:val="3"/>
    </w:pPr>
    <w:rPr/>
  </w:style>
  <w:style w:type="paragraph" w:styleId="Style28" w:customStyle="1">
    <w:name w:val="[РГ] Перечисление"/>
    <w:basedOn w:val="Normal"/>
    <w:qFormat/>
    <w:rsid w:val="00891546"/>
    <w:pPr>
      <w:numPr>
        <w:ilvl w:val="4"/>
        <w:numId w:val="1"/>
      </w:numPr>
      <w:jc w:val="both"/>
      <w:outlineLvl w:val="4"/>
    </w:pPr>
    <w:rPr/>
  </w:style>
  <w:style w:type="paragraph" w:styleId="Style29" w:customStyle="1">
    <w:name w:val="[РГ] Заголовок"/>
    <w:basedOn w:val="Normal"/>
    <w:next w:val="Style30"/>
    <w:qFormat/>
    <w:rsid w:val="00f87384"/>
    <w:pPr>
      <w:keepNext w:val="true"/>
      <w:pageBreakBefore/>
      <w:spacing w:before="0" w:after="360"/>
      <w:jc w:val="both"/>
    </w:pPr>
    <w:rPr>
      <w:b/>
      <w:bCs/>
      <w:caps/>
    </w:rPr>
  </w:style>
  <w:style w:type="paragraph" w:styleId="Style30" w:customStyle="1">
    <w:name w:val="[РГ] Текст"/>
    <w:basedOn w:val="Normal"/>
    <w:qFormat/>
    <w:rsid w:val="00891546"/>
    <w:pPr>
      <w:jc w:val="both"/>
    </w:pPr>
    <w:rPr/>
  </w:style>
  <w:style w:type="paragraph" w:styleId="Style31">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iPriority w:val="99"/>
    <w:semiHidden/>
    <w:unhideWhenUsed/>
    <w:rsid w:val="006608d1"/>
    <w:pPr>
      <w:spacing w:before="0" w:after="0"/>
    </w:pPr>
    <w:rPr>
      <w:sz w:val="20"/>
      <w:szCs w:val="20"/>
    </w:rPr>
  </w:style>
  <w:style w:type="paragraph" w:styleId="Style32"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3" w:customStyle="1">
    <w:name w:val="[РГ] Альтернатива / Дополнение"/>
    <w:basedOn w:val="Style30"/>
    <w:next w:val="Style30"/>
    <w:qFormat/>
    <w:rsid w:val="00a932a1"/>
    <w:pPr/>
    <w:rPr>
      <w:i/>
      <w:shd w:fill="CCECFF" w:val="clear"/>
    </w:rPr>
  </w:style>
  <w:style w:type="paragraph" w:styleId="Revision">
    <w:name w:val="Revision"/>
    <w:uiPriority w:val="99"/>
    <w:semiHidden/>
    <w:qFormat/>
    <w:rsid w:val="00537a41"/>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BalloonText">
    <w:name w:val="Balloon Text"/>
    <w:basedOn w:val="Normal"/>
    <w:link w:val="Style18"/>
    <w:uiPriority w:val="99"/>
    <w:semiHidden/>
    <w:unhideWhenUsed/>
    <w:qFormat/>
    <w:rsid w:val="0079507d"/>
    <w:pPr>
      <w:spacing w:before="0" w:after="0"/>
    </w:pPr>
    <w:rPr>
      <w:rFonts w:ascii="Segoe UI" w:hAnsi="Segoe UI" w:cs="Segoe UI"/>
      <w:sz w:val="18"/>
      <w:szCs w:val="18"/>
    </w:rPr>
  </w:style>
  <w:style w:type="paragraph" w:styleId="1" w:customStyle="1">
    <w:name w:val="РГ_ЕПоЗ_1."/>
    <w:basedOn w:val="Normal"/>
    <w:qFormat/>
    <w:rsid w:val="00ad49fe"/>
    <w:pPr>
      <w:keepNext w:val="true"/>
      <w:numPr>
        <w:ilvl w:val="0"/>
        <w:numId w:val="18"/>
      </w:numPr>
      <w:tabs>
        <w:tab w:val="clear" w:pos="708"/>
        <w:tab w:val="left" w:pos="1418" w:leader="none"/>
      </w:tabs>
      <w:spacing w:before="480" w:after="0"/>
      <w:jc w:val="both"/>
      <w:outlineLvl w:val="0"/>
    </w:pPr>
    <w:rPr>
      <w:rFonts w:eastAsia="Times New Roman" w:cs="Times New Roman"/>
      <w:b/>
      <w:sz w:val="28"/>
      <w:szCs w:val="28"/>
      <w:lang w:eastAsia="ru-RU"/>
    </w:rPr>
  </w:style>
  <w:style w:type="paragraph" w:styleId="11" w:customStyle="1">
    <w:name w:val="РГ_ЕПоЗ_1.1"/>
    <w:basedOn w:val="Normal"/>
    <w:qFormat/>
    <w:rsid w:val="00ad49fe"/>
    <w:pPr>
      <w:keepNext w:val="true"/>
      <w:numPr>
        <w:ilvl w:val="1"/>
        <w:numId w:val="18"/>
      </w:numPr>
      <w:tabs>
        <w:tab w:val="clear" w:pos="708"/>
        <w:tab w:val="left" w:pos="1418" w:leader="none"/>
      </w:tabs>
      <w:spacing w:before="360" w:after="0"/>
      <w:ind w:left="1134" w:hanging="567"/>
      <w:jc w:val="both"/>
      <w:outlineLvl w:val="1"/>
    </w:pPr>
    <w:rPr>
      <w:rFonts w:eastAsia="Times New Roman" w:cs="Times New Roman"/>
      <w:b/>
      <w:sz w:val="28"/>
      <w:szCs w:val="28"/>
      <w:lang w:eastAsia="ru-RU"/>
    </w:rPr>
  </w:style>
  <w:style w:type="paragraph" w:styleId="Style34" w:customStyle="1">
    <w:name w:val="РГ_ЕПоЗ_а)"/>
    <w:basedOn w:val="ListParagraph"/>
    <w:link w:val="Style19"/>
    <w:qFormat/>
    <w:rsid w:val="00ad49fe"/>
    <w:pPr>
      <w:numPr>
        <w:ilvl w:val="4"/>
        <w:numId w:val="18"/>
      </w:numPr>
      <w:spacing w:before="120" w:after="0"/>
      <w:contextualSpacing w:val="false"/>
      <w:jc w:val="both"/>
    </w:pPr>
    <w:rPr>
      <w:rFonts w:eastAsia="Calibri" w:cs="Times New Roman"/>
      <w:sz w:val="28"/>
      <w:szCs w:val="28"/>
    </w:rPr>
  </w:style>
  <w:style w:type="paragraph" w:styleId="1111" w:customStyle="1">
    <w:name w:val="РГ_ЕПоЗ_1.1.1.1"/>
    <w:basedOn w:val="Normal"/>
    <w:qFormat/>
    <w:rsid w:val="00ad49fe"/>
    <w:pPr>
      <w:numPr>
        <w:ilvl w:val="3"/>
        <w:numId w:val="18"/>
      </w:numPr>
      <w:tabs>
        <w:tab w:val="clear" w:pos="708"/>
        <w:tab w:val="left" w:pos="1843" w:leader="none"/>
      </w:tabs>
      <w:jc w:val="both"/>
    </w:pPr>
    <w:rPr>
      <w:rFonts w:eastAsia="Times New Roman" w:cs="Times New Roman"/>
      <w:sz w:val="28"/>
      <w:szCs w:val="28"/>
      <w:lang w:eastAsia="ru-RU"/>
    </w:rPr>
  </w:style>
  <w:style w:type="paragraph" w:styleId="-1" w:customStyle="1">
    <w:name w:val="РГ_ЕПоЗ_-"/>
    <w:basedOn w:val="Normal"/>
    <w:link w:val="-"/>
    <w:qFormat/>
    <w:rsid w:val="00ad49fe"/>
    <w:pPr>
      <w:numPr>
        <w:ilvl w:val="5"/>
        <w:numId w:val="18"/>
      </w:numPr>
      <w:tabs>
        <w:tab w:val="clear" w:pos="708"/>
        <w:tab w:val="left" w:pos="2552" w:leader="none"/>
      </w:tabs>
      <w:spacing w:before="0" w:after="0"/>
      <w:jc w:val="both"/>
    </w:pPr>
    <w:rPr>
      <w:rFonts w:eastAsia="Times New Roman" w:cs="Times New Roman"/>
      <w:sz w:val="28"/>
      <w:szCs w:val="20"/>
      <w:lang w:eastAsia="ru-RU"/>
    </w:rPr>
  </w:style>
  <w:style w:type="paragraph" w:styleId="111" w:customStyle="1">
    <w:name w:val="РГ_ЕПоЗ_1.1.1"/>
    <w:basedOn w:val="Normal"/>
    <w:qFormat/>
    <w:rsid w:val="00ad49fe"/>
    <w:pPr>
      <w:numPr>
        <w:ilvl w:val="2"/>
        <w:numId w:val="18"/>
      </w:numPr>
      <w:tabs>
        <w:tab w:val="clear" w:pos="708"/>
        <w:tab w:val="left" w:pos="1134" w:leader="none"/>
      </w:tabs>
      <w:jc w:val="both"/>
    </w:pPr>
    <w:rPr>
      <w:rFonts w:eastAsia="Times New Roman" w:cs="Times New Roman"/>
      <w:sz w:val="28"/>
      <w:szCs w:val="28"/>
      <w:lang w:eastAsia="ru-RU"/>
    </w:rPr>
  </w:style>
  <w:style w:type="paragraph" w:styleId="Tableheader">
    <w:name w:val="Table_header"/>
    <w:qFormat/>
    <w:pPr>
      <w:keepNext w:val="false"/>
      <w:keepLines w:val="false"/>
      <w:pageBreakBefore w:val="false"/>
      <w:widowControl/>
      <w:shd w:val="nil"/>
      <w:suppressAutoHyphens w:val="true"/>
      <w:bidi w:val="0"/>
      <w:spacing w:lineRule="auto" w:line="240" w:beforeAutospacing="0" w:before="120" w:afterAutospacing="0" w:after="0"/>
      <w:ind w:left="0" w:right="0" w:hanging="0"/>
      <w:jc w:val="both"/>
    </w:pPr>
    <w:rPr>
      <w:rFonts w:ascii="Times New Roman" w:hAnsi="Times New Roman" w:eastAsia="Times New Roman" w:cs="Times New Roman"/>
      <w:b/>
      <w:bCs w:val="false"/>
      <w:i w:val="false"/>
      <w:iCs w:val="false"/>
      <w:caps w:val="false"/>
      <w:smallCaps w:val="false"/>
      <w:strike w:val="false"/>
      <w:dstrike w:val="false"/>
      <w:vanish w:val="false"/>
      <w:color w:val="auto"/>
      <w:spacing w:val="0"/>
      <w:kern w:val="0"/>
      <w:position w:val="0"/>
      <w:sz w:val="20"/>
      <w:sz w:val="20"/>
      <w:szCs w:val="24"/>
      <w:u w:val="none"/>
      <w:vertAlign w:val="baseline"/>
      <w:lang w:val="ru-RU" w:eastAsia="ru-RU" w:bidi="ar-SA"/>
      <w14:ligatures w14:val="none"/>
    </w:rPr>
  </w:style>
  <w:style w:type="numbering" w:styleId="NoList" w:default="1">
    <w:name w:val="No List"/>
    <w:uiPriority w:val="99"/>
    <w:semiHidden/>
    <w:unhideWhenUsed/>
    <w:qFormat/>
  </w:style>
  <w:style w:type="table" w:default="1" w:styleId="a7">
    <w:name w:val="Normal Table"/>
    <w:uiPriority w:val="99"/>
    <w:semiHidden/>
    <w:unhideWhenUsed/>
    <w:tblPr>
      <w:tblCellMar>
        <w:top w:w="0" w:type="dxa"/>
        <w:left w:w="108" w:type="dxa"/>
        <w:bottom w:w="0" w:type="dxa"/>
        <w:right w:w="108" w:type="dxa"/>
      </w:tblCellMar>
    </w:tblPr>
  </w:style>
  <w:style w:type="table" w:customStyle="1" w:styleId="af6">
    <w:name w:val="[РГ] Таблица"/>
    <w:basedOn w:val="a7"/>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7">
    <w:name w:val="Table Grid"/>
    <w:basedOn w:val="a7"/>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www.roseltorg.ru/_flysystem/webdav/2026/04/20/reglam_rushydro_20042026.pdf" TargetMode="External"/><Relationship Id="rId4" Type="http://schemas.openxmlformats.org/officeDocument/2006/relationships/hyperlink" Target="mailto:dgk@dgk.ru" TargetMode="External"/><Relationship Id="rId5" Type="http://schemas.openxmlformats.org/officeDocument/2006/relationships/hyperlink" Target="http://banschikova-iv@dgk.ru" TargetMode="External"/><Relationship Id="rId6" Type="http://schemas.openxmlformats.org/officeDocument/2006/relationships/hyperlink" Target="http://banschikova-iv@dgk.ru" TargetMode="Externa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package" Target="embeddings/oleObject1.docx"/><Relationship Id="rId14" Type="http://schemas.openxmlformats.org/officeDocument/2006/relationships/image" Target="media/image2.wmf"/><Relationship Id="rId15" Type="http://schemas.openxmlformats.org/officeDocument/2006/relationships/header" Target="header4.xml"/><Relationship Id="rId16" Type="http://schemas.openxmlformats.org/officeDocument/2006/relationships/header" Target="header5.xml"/><Relationship Id="rId17" Type="http://schemas.openxmlformats.org/officeDocument/2006/relationships/footer" Target="footer4.xml"/><Relationship Id="rId18" Type="http://schemas.openxmlformats.org/officeDocument/2006/relationships/footer" Target="footer5.xml"/><Relationship Id="rId19" Type="http://schemas.openxmlformats.org/officeDocument/2006/relationships/header" Target="header6.xml"/><Relationship Id="rId20" Type="http://schemas.openxmlformats.org/officeDocument/2006/relationships/header" Target="header7.xml"/><Relationship Id="rId21" Type="http://schemas.openxmlformats.org/officeDocument/2006/relationships/footer" Target="footer6.xml"/><Relationship Id="rId22" Type="http://schemas.openxmlformats.org/officeDocument/2006/relationships/footer" Target="footer7.xml"/><Relationship Id="rId23" Type="http://schemas.openxmlformats.org/officeDocument/2006/relationships/package" Target="embeddings/oleObject2.docx"/><Relationship Id="rId24" Type="http://schemas.openxmlformats.org/officeDocument/2006/relationships/image" Target="media/image3.wmf"/><Relationship Id="rId25" Type="http://schemas.openxmlformats.org/officeDocument/2006/relationships/package" Target="embeddings/oleObject3.docx"/><Relationship Id="rId26" Type="http://schemas.openxmlformats.org/officeDocument/2006/relationships/image" Target="media/image4.wmf"/><Relationship Id="rId27" Type="http://schemas.openxmlformats.org/officeDocument/2006/relationships/header" Target="header8.xml"/><Relationship Id="rId28" Type="http://schemas.openxmlformats.org/officeDocument/2006/relationships/header" Target="header9.xml"/><Relationship Id="rId29" Type="http://schemas.openxmlformats.org/officeDocument/2006/relationships/footer" Target="footer8.xml"/><Relationship Id="rId30" Type="http://schemas.openxmlformats.org/officeDocument/2006/relationships/footer" Target="footer9.xml"/><Relationship Id="rId31" Type="http://schemas.openxmlformats.org/officeDocument/2006/relationships/header" Target="header10.xml"/><Relationship Id="rId32" Type="http://schemas.openxmlformats.org/officeDocument/2006/relationships/header" Target="header11.xml"/><Relationship Id="rId33" Type="http://schemas.openxmlformats.org/officeDocument/2006/relationships/footer" Target="footer10.xml"/><Relationship Id="rId34" Type="http://schemas.openxmlformats.org/officeDocument/2006/relationships/footer" Target="footer11.xml"/><Relationship Id="rId35" Type="http://schemas.openxmlformats.org/officeDocument/2006/relationships/package" Target="embeddings/oleObject4.xlsx"/><Relationship Id="rId36" Type="http://schemas.openxmlformats.org/officeDocument/2006/relationships/image" Target="media/image5.wmf"/><Relationship Id="rId37" Type="http://schemas.openxmlformats.org/officeDocument/2006/relationships/package" Target="embeddings/oleObject5.docx"/><Relationship Id="rId38" Type="http://schemas.openxmlformats.org/officeDocument/2006/relationships/image" Target="media/image6.wmf"/><Relationship Id="rId39" Type="http://schemas.openxmlformats.org/officeDocument/2006/relationships/header" Target="header12.xml"/><Relationship Id="rId40" Type="http://schemas.openxmlformats.org/officeDocument/2006/relationships/header" Target="header13.xml"/><Relationship Id="rId41" Type="http://schemas.openxmlformats.org/officeDocument/2006/relationships/footer" Target="footer12.xml"/><Relationship Id="rId42" Type="http://schemas.openxmlformats.org/officeDocument/2006/relationships/footer" Target="footer13.xml"/><Relationship Id="rId43" Type="http://schemas.openxmlformats.org/officeDocument/2006/relationships/footnotes" Target="footnotes.xml"/><Relationship Id="rId44" Type="http://schemas.openxmlformats.org/officeDocument/2006/relationships/numbering" Target="numbering.xml"/><Relationship Id="rId45" Type="http://schemas.openxmlformats.org/officeDocument/2006/relationships/fontTable" Target="fontTable.xml"/><Relationship Id="rId46" Type="http://schemas.openxmlformats.org/officeDocument/2006/relationships/settings" Target="settings.xml"/><Relationship Id="rId47" Type="http://schemas.openxmlformats.org/officeDocument/2006/relationships/theme" Target="theme/theme1.xml"/><Relationship Id="rId4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C22E6-003B-42B4-A07C-C09E2DE82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Application>AlterOffice/2025.3.1.0$Linux_X86_64 LibreOffice_project/431cd1b79110582f53535c95ed0a2449aadc8bf9</Application>
  <AppVersion>15.0000</AppVersion>
  <Pages>79</Pages>
  <Words>19089</Words>
  <Characters>132890</Characters>
  <CharactersWithSpaces>150943</CharactersWithSpaces>
  <Paragraphs>1081</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2025-09-01T12:33:00Z</dcterms:created>
  <dc:creator>Владимир Щербаков</dc:creator>
  <dc:description/>
  <cp:keywords>Типовая форма</cp:keywords>
  <dc:language>ru-RU</dc:language>
  <cp:lastModifiedBy>banschikova_iv@DGK.RU</cp:lastModifiedBy>
  <cp:lastPrinted>2026-08-12T16:18:24Z</cp:lastPrinted>
  <dcterms:modified xsi:type="dcterms:W3CDTF">2026-08-20T11:10:58Z</dcterms:modified>
  <cp:revision>46</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